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58" w:rsidRDefault="001F73CF">
      <w:pPr>
        <w:wordWrap w:val="0"/>
        <w:spacing w:line="440" w:lineRule="exact"/>
        <w:ind w:right="300"/>
        <w:jc w:val="right"/>
        <w:rPr>
          <w:sz w:val="30"/>
        </w:rPr>
      </w:pPr>
      <w:r>
        <w:rPr>
          <w:rFonts w:hint="eastAsia"/>
          <w:sz w:val="30"/>
        </w:rPr>
        <w:t>八届二次</w:t>
      </w:r>
      <w:r>
        <w:rPr>
          <w:rFonts w:hint="eastAsia"/>
          <w:sz w:val="30"/>
        </w:rPr>
        <w:t xml:space="preserve">  </w:t>
      </w:r>
      <w:r>
        <w:rPr>
          <w:rFonts w:hint="eastAsia"/>
          <w:sz w:val="30"/>
        </w:rPr>
        <w:t>第</w:t>
      </w:r>
      <w:r>
        <w:rPr>
          <w:rFonts w:hint="eastAsia"/>
          <w:sz w:val="30"/>
        </w:rPr>
        <w:t xml:space="preserve"> </w:t>
      </w:r>
      <w:r w:rsidR="0065336D">
        <w:rPr>
          <w:rFonts w:hint="eastAsia"/>
          <w:sz w:val="30"/>
        </w:rPr>
        <w:t>92</w:t>
      </w:r>
      <w:r>
        <w:rPr>
          <w:rFonts w:hint="eastAsia"/>
          <w:sz w:val="30"/>
        </w:rPr>
        <w:t xml:space="preserve"> </w:t>
      </w:r>
      <w:r>
        <w:rPr>
          <w:rFonts w:hint="eastAsia"/>
          <w:sz w:val="30"/>
        </w:rPr>
        <w:t>号</w:t>
      </w:r>
    </w:p>
    <w:p w:rsidR="00B85D58" w:rsidRDefault="00B85D58">
      <w:pPr>
        <w:spacing w:line="440" w:lineRule="exact"/>
        <w:rPr>
          <w:sz w:val="30"/>
        </w:rPr>
      </w:pPr>
    </w:p>
    <w:p w:rsidR="00B85D58" w:rsidRDefault="001F73CF">
      <w:pPr>
        <w:jc w:val="center"/>
        <w:rPr>
          <w:rFonts w:ascii="宋体" w:hAnsi="宋体"/>
          <w:sz w:val="48"/>
          <w:szCs w:val="48"/>
        </w:rPr>
      </w:pPr>
      <w:r>
        <w:rPr>
          <w:rFonts w:ascii="宋体" w:hAnsi="宋体" w:hint="eastAsia"/>
          <w:sz w:val="48"/>
          <w:szCs w:val="48"/>
        </w:rPr>
        <w:t>政协温州市洞头区委员会提案</w:t>
      </w:r>
    </w:p>
    <w:p w:rsidR="00B85D58" w:rsidRDefault="00B85D58">
      <w:pPr>
        <w:spacing w:line="440" w:lineRule="exact"/>
        <w:rPr>
          <w:sz w:val="3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620"/>
        <w:gridCol w:w="705"/>
        <w:gridCol w:w="519"/>
        <w:gridCol w:w="1601"/>
      </w:tblGrid>
      <w:tr w:rsidR="00B85D58">
        <w:trPr>
          <w:cantSplit/>
          <w:trHeight w:val="730"/>
        </w:trPr>
        <w:tc>
          <w:tcPr>
            <w:tcW w:w="1728" w:type="dxa"/>
            <w:vAlign w:val="center"/>
          </w:tcPr>
          <w:p w:rsidR="00B85D58" w:rsidRDefault="001F73CF">
            <w:pPr>
              <w:spacing w:line="440" w:lineRule="exact"/>
              <w:jc w:val="center"/>
              <w:rPr>
                <w:rFonts w:ascii="宋体" w:hAnsi="宋体"/>
                <w:sz w:val="24"/>
              </w:rPr>
            </w:pPr>
            <w:r>
              <w:rPr>
                <w:rFonts w:ascii="宋体" w:hAnsi="宋体" w:hint="eastAsia"/>
                <w:sz w:val="24"/>
              </w:rPr>
              <w:t>案    由</w:t>
            </w:r>
          </w:p>
        </w:tc>
        <w:tc>
          <w:tcPr>
            <w:tcW w:w="7452" w:type="dxa"/>
            <w:gridSpan w:val="6"/>
            <w:vAlign w:val="center"/>
          </w:tcPr>
          <w:p w:rsidR="00B85D58" w:rsidRPr="00962620" w:rsidRDefault="00962620" w:rsidP="00962620">
            <w:pPr>
              <w:pStyle w:val="a6"/>
              <w:rPr>
                <w:rFonts w:ascii="仿宋_GB2312" w:eastAsia="仿宋_GB2312" w:hAnsi="宋体"/>
                <w:color w:val="000000"/>
              </w:rPr>
            </w:pPr>
            <w:r w:rsidRPr="00962620">
              <w:rPr>
                <w:rFonts w:ascii="仿宋_GB2312" w:eastAsia="仿宋_GB2312" w:hAnsi="宋体" w:cs="Arial" w:hint="eastAsia"/>
                <w:color w:val="000000"/>
                <w:shd w:val="clear" w:color="auto" w:fill="FFFFFF"/>
              </w:rPr>
              <w:t>关于尽快落实电动车保险及管理的提案</w:t>
            </w:r>
          </w:p>
        </w:tc>
      </w:tr>
      <w:tr w:rsidR="00B85D58">
        <w:trPr>
          <w:cantSplit/>
          <w:trHeight w:val="567"/>
        </w:trPr>
        <w:tc>
          <w:tcPr>
            <w:tcW w:w="1728" w:type="dxa"/>
            <w:vAlign w:val="center"/>
          </w:tcPr>
          <w:p w:rsidR="00B85D58" w:rsidRDefault="001F73CF">
            <w:pPr>
              <w:spacing w:line="440" w:lineRule="exact"/>
              <w:jc w:val="center"/>
              <w:rPr>
                <w:rFonts w:ascii="宋体" w:hAnsi="宋体"/>
                <w:sz w:val="24"/>
              </w:rPr>
            </w:pPr>
            <w:r>
              <w:rPr>
                <w:rFonts w:ascii="宋体" w:hAnsi="宋体" w:hint="eastAsia"/>
                <w:sz w:val="24"/>
              </w:rPr>
              <w:t>提 案 人</w:t>
            </w:r>
          </w:p>
        </w:tc>
        <w:tc>
          <w:tcPr>
            <w:tcW w:w="1919" w:type="dxa"/>
            <w:vAlign w:val="center"/>
          </w:tcPr>
          <w:p w:rsidR="00B85D58" w:rsidRDefault="001F73CF">
            <w:pPr>
              <w:spacing w:line="360" w:lineRule="auto"/>
              <w:jc w:val="center"/>
              <w:rPr>
                <w:rFonts w:ascii="宋体" w:hAnsi="宋体"/>
                <w:sz w:val="24"/>
              </w:rPr>
            </w:pPr>
            <w:r>
              <w:rPr>
                <w:rFonts w:ascii="宋体" w:hAnsi="宋体" w:hint="eastAsia"/>
                <w:sz w:val="24"/>
              </w:rPr>
              <w:t>陈素芳</w:t>
            </w:r>
          </w:p>
        </w:tc>
        <w:tc>
          <w:tcPr>
            <w:tcW w:w="1088" w:type="dxa"/>
            <w:vAlign w:val="center"/>
          </w:tcPr>
          <w:p w:rsidR="00B85D58" w:rsidRDefault="001F73CF">
            <w:pPr>
              <w:spacing w:line="440" w:lineRule="exact"/>
              <w:jc w:val="center"/>
              <w:rPr>
                <w:rFonts w:ascii="宋体" w:hAnsi="宋体"/>
                <w:sz w:val="24"/>
              </w:rPr>
            </w:pPr>
            <w:r>
              <w:rPr>
                <w:rFonts w:ascii="宋体" w:hAnsi="宋体" w:hint="eastAsia"/>
                <w:sz w:val="24"/>
              </w:rPr>
              <w:t>界 别</w:t>
            </w:r>
          </w:p>
        </w:tc>
        <w:tc>
          <w:tcPr>
            <w:tcW w:w="1620" w:type="dxa"/>
            <w:vAlign w:val="center"/>
          </w:tcPr>
          <w:p w:rsidR="00B85D58" w:rsidRDefault="001F73CF">
            <w:pPr>
              <w:spacing w:line="440" w:lineRule="exact"/>
              <w:jc w:val="center"/>
              <w:rPr>
                <w:rFonts w:ascii="宋体" w:hAnsi="宋体"/>
                <w:sz w:val="24"/>
              </w:rPr>
            </w:pPr>
            <w:r>
              <w:rPr>
                <w:rFonts w:ascii="宋体" w:hAnsi="宋体" w:hint="eastAsia"/>
                <w:sz w:val="24"/>
              </w:rPr>
              <w:t>社科界</w:t>
            </w:r>
          </w:p>
        </w:tc>
        <w:tc>
          <w:tcPr>
            <w:tcW w:w="1224" w:type="dxa"/>
            <w:gridSpan w:val="2"/>
            <w:vAlign w:val="center"/>
          </w:tcPr>
          <w:p w:rsidR="00B85D58" w:rsidRDefault="001F73CF">
            <w:pPr>
              <w:spacing w:line="440" w:lineRule="exact"/>
              <w:jc w:val="center"/>
              <w:rPr>
                <w:rFonts w:ascii="宋体" w:hAnsi="宋体"/>
                <w:sz w:val="24"/>
              </w:rPr>
            </w:pPr>
            <w:r>
              <w:rPr>
                <w:rFonts w:ascii="宋体" w:hAnsi="宋体" w:hint="eastAsia"/>
                <w:sz w:val="24"/>
              </w:rPr>
              <w:t>联系电话</w:t>
            </w:r>
          </w:p>
        </w:tc>
        <w:tc>
          <w:tcPr>
            <w:tcW w:w="1601" w:type="dxa"/>
            <w:vAlign w:val="center"/>
          </w:tcPr>
          <w:p w:rsidR="00B85D58" w:rsidRDefault="001F73CF">
            <w:pPr>
              <w:spacing w:line="440" w:lineRule="exact"/>
              <w:jc w:val="center"/>
              <w:rPr>
                <w:rFonts w:ascii="宋体" w:hAnsi="宋体"/>
                <w:sz w:val="24"/>
              </w:rPr>
            </w:pPr>
            <w:r>
              <w:rPr>
                <w:rFonts w:ascii="宋体" w:hAnsi="宋体" w:hint="eastAsia"/>
                <w:sz w:val="24"/>
              </w:rPr>
              <w:t>13858829637</w:t>
            </w:r>
          </w:p>
        </w:tc>
      </w:tr>
      <w:tr w:rsidR="00B85D58">
        <w:trPr>
          <w:cantSplit/>
          <w:trHeight w:val="567"/>
        </w:trPr>
        <w:tc>
          <w:tcPr>
            <w:tcW w:w="1728" w:type="dxa"/>
            <w:vAlign w:val="center"/>
          </w:tcPr>
          <w:p w:rsidR="00B85D58" w:rsidRDefault="001F73CF">
            <w:pPr>
              <w:spacing w:line="440" w:lineRule="exact"/>
              <w:jc w:val="center"/>
              <w:rPr>
                <w:rFonts w:ascii="宋体" w:hAnsi="宋体"/>
                <w:sz w:val="24"/>
              </w:rPr>
            </w:pPr>
            <w:r>
              <w:rPr>
                <w:rFonts w:ascii="宋体" w:hAnsi="宋体" w:hint="eastAsia"/>
                <w:sz w:val="24"/>
              </w:rPr>
              <w:t>通讯地址</w:t>
            </w:r>
          </w:p>
        </w:tc>
        <w:tc>
          <w:tcPr>
            <w:tcW w:w="7452" w:type="dxa"/>
            <w:gridSpan w:val="6"/>
            <w:vAlign w:val="center"/>
          </w:tcPr>
          <w:p w:rsidR="00B85D58" w:rsidRDefault="001F73CF">
            <w:pPr>
              <w:spacing w:line="440" w:lineRule="exact"/>
              <w:jc w:val="center"/>
              <w:rPr>
                <w:rFonts w:ascii="宋体" w:hAnsi="宋体"/>
                <w:sz w:val="24"/>
              </w:rPr>
            </w:pPr>
            <w:r>
              <w:rPr>
                <w:rFonts w:ascii="宋体" w:hAnsi="宋体" w:cs="宋体"/>
                <w:kern w:val="0"/>
                <w:sz w:val="24"/>
              </w:rPr>
              <w:t>繁荣街5弄16号</w:t>
            </w:r>
          </w:p>
        </w:tc>
      </w:tr>
      <w:tr w:rsidR="00B85D58">
        <w:trPr>
          <w:cantSplit/>
          <w:trHeight w:val="542"/>
        </w:trPr>
        <w:tc>
          <w:tcPr>
            <w:tcW w:w="1728" w:type="dxa"/>
            <w:vAlign w:val="center"/>
          </w:tcPr>
          <w:p w:rsidR="00B85D58" w:rsidRDefault="001F73CF">
            <w:pPr>
              <w:spacing w:line="440" w:lineRule="exact"/>
              <w:jc w:val="center"/>
              <w:rPr>
                <w:rFonts w:ascii="宋体" w:hAnsi="宋体"/>
                <w:sz w:val="24"/>
              </w:rPr>
            </w:pPr>
            <w:r>
              <w:rPr>
                <w:rFonts w:ascii="宋体" w:hAnsi="宋体" w:hint="eastAsia"/>
                <w:sz w:val="24"/>
              </w:rPr>
              <w:t>建议承办单位</w:t>
            </w:r>
          </w:p>
        </w:tc>
        <w:tc>
          <w:tcPr>
            <w:tcW w:w="7452" w:type="dxa"/>
            <w:gridSpan w:val="6"/>
            <w:vAlign w:val="center"/>
          </w:tcPr>
          <w:p w:rsidR="00B85D58" w:rsidRDefault="00B85D58">
            <w:pPr>
              <w:spacing w:line="440" w:lineRule="exact"/>
              <w:jc w:val="right"/>
              <w:rPr>
                <w:rFonts w:ascii="宋体" w:hAnsi="宋体"/>
                <w:sz w:val="24"/>
              </w:rPr>
            </w:pPr>
          </w:p>
        </w:tc>
      </w:tr>
      <w:tr w:rsidR="00B85D58">
        <w:trPr>
          <w:trHeight w:val="537"/>
        </w:trPr>
        <w:tc>
          <w:tcPr>
            <w:tcW w:w="1728" w:type="dxa"/>
            <w:vAlign w:val="center"/>
          </w:tcPr>
          <w:p w:rsidR="00B85D58" w:rsidRDefault="001F73CF">
            <w:pPr>
              <w:spacing w:line="360" w:lineRule="exact"/>
              <w:ind w:right="128"/>
              <w:jc w:val="center"/>
              <w:rPr>
                <w:rFonts w:ascii="宋体" w:hAnsi="宋体"/>
                <w:sz w:val="24"/>
              </w:rPr>
            </w:pPr>
            <w:r>
              <w:rPr>
                <w:rFonts w:ascii="宋体" w:hAnsi="宋体" w:hint="eastAsia"/>
                <w:sz w:val="24"/>
              </w:rPr>
              <w:t>附议人姓名</w:t>
            </w:r>
          </w:p>
        </w:tc>
        <w:tc>
          <w:tcPr>
            <w:tcW w:w="5332" w:type="dxa"/>
            <w:gridSpan w:val="4"/>
            <w:vAlign w:val="center"/>
          </w:tcPr>
          <w:p w:rsidR="00B85D58" w:rsidRDefault="001F73CF">
            <w:pPr>
              <w:spacing w:line="440" w:lineRule="exact"/>
              <w:jc w:val="center"/>
              <w:rPr>
                <w:rFonts w:ascii="宋体" w:hAnsi="宋体"/>
                <w:sz w:val="24"/>
              </w:rPr>
            </w:pPr>
            <w:r>
              <w:rPr>
                <w:rFonts w:ascii="宋体" w:hAnsi="宋体" w:hint="eastAsia"/>
                <w:sz w:val="24"/>
              </w:rPr>
              <w:t>联     系     地     址</w:t>
            </w:r>
          </w:p>
        </w:tc>
        <w:tc>
          <w:tcPr>
            <w:tcW w:w="2120" w:type="dxa"/>
            <w:gridSpan w:val="2"/>
            <w:vAlign w:val="center"/>
          </w:tcPr>
          <w:p w:rsidR="00B85D58" w:rsidRDefault="001F73CF">
            <w:pPr>
              <w:spacing w:line="440" w:lineRule="exact"/>
              <w:jc w:val="center"/>
              <w:rPr>
                <w:rFonts w:ascii="宋体" w:hAnsi="宋体"/>
                <w:sz w:val="24"/>
              </w:rPr>
            </w:pPr>
            <w:r>
              <w:rPr>
                <w:rFonts w:ascii="宋体" w:hAnsi="宋体" w:hint="eastAsia"/>
                <w:sz w:val="24"/>
              </w:rPr>
              <w:t>联 系 电 话</w:t>
            </w:r>
          </w:p>
        </w:tc>
      </w:tr>
      <w:tr w:rsidR="00B85D58">
        <w:trPr>
          <w:trHeight w:val="567"/>
        </w:trPr>
        <w:tc>
          <w:tcPr>
            <w:tcW w:w="1728" w:type="dxa"/>
            <w:vAlign w:val="center"/>
          </w:tcPr>
          <w:p w:rsidR="00B85D58" w:rsidRDefault="00B85D58">
            <w:pPr>
              <w:spacing w:line="440" w:lineRule="exact"/>
              <w:jc w:val="center"/>
              <w:rPr>
                <w:rFonts w:ascii="宋体" w:hAnsi="宋体"/>
                <w:sz w:val="24"/>
              </w:rPr>
            </w:pPr>
          </w:p>
        </w:tc>
        <w:tc>
          <w:tcPr>
            <w:tcW w:w="5332" w:type="dxa"/>
            <w:gridSpan w:val="4"/>
            <w:vAlign w:val="center"/>
          </w:tcPr>
          <w:p w:rsidR="00B85D58" w:rsidRDefault="00B85D58">
            <w:pPr>
              <w:spacing w:line="440" w:lineRule="exact"/>
              <w:jc w:val="center"/>
              <w:rPr>
                <w:rFonts w:ascii="宋体" w:hAnsi="宋体"/>
                <w:sz w:val="24"/>
              </w:rPr>
            </w:pPr>
          </w:p>
        </w:tc>
        <w:tc>
          <w:tcPr>
            <w:tcW w:w="2120" w:type="dxa"/>
            <w:gridSpan w:val="2"/>
            <w:vAlign w:val="center"/>
          </w:tcPr>
          <w:p w:rsidR="00B85D58" w:rsidRDefault="00B85D58">
            <w:pPr>
              <w:spacing w:line="440" w:lineRule="exact"/>
              <w:jc w:val="center"/>
              <w:rPr>
                <w:rFonts w:ascii="宋体" w:hAnsi="宋体"/>
                <w:sz w:val="24"/>
              </w:rPr>
            </w:pPr>
          </w:p>
        </w:tc>
      </w:tr>
      <w:tr w:rsidR="00B85D58">
        <w:trPr>
          <w:trHeight w:val="567"/>
        </w:trPr>
        <w:tc>
          <w:tcPr>
            <w:tcW w:w="1728" w:type="dxa"/>
            <w:vAlign w:val="center"/>
          </w:tcPr>
          <w:p w:rsidR="00B85D58" w:rsidRDefault="00B85D58">
            <w:pPr>
              <w:spacing w:line="440" w:lineRule="exact"/>
              <w:jc w:val="center"/>
              <w:rPr>
                <w:rFonts w:ascii="宋体" w:hAnsi="宋体"/>
                <w:sz w:val="24"/>
              </w:rPr>
            </w:pPr>
          </w:p>
        </w:tc>
        <w:tc>
          <w:tcPr>
            <w:tcW w:w="5332" w:type="dxa"/>
            <w:gridSpan w:val="4"/>
            <w:vAlign w:val="center"/>
          </w:tcPr>
          <w:p w:rsidR="00B85D58" w:rsidRDefault="00B85D58">
            <w:pPr>
              <w:spacing w:line="440" w:lineRule="exact"/>
              <w:jc w:val="center"/>
              <w:rPr>
                <w:rFonts w:ascii="宋体" w:hAnsi="宋体"/>
                <w:sz w:val="24"/>
              </w:rPr>
            </w:pPr>
          </w:p>
        </w:tc>
        <w:tc>
          <w:tcPr>
            <w:tcW w:w="2120" w:type="dxa"/>
            <w:gridSpan w:val="2"/>
            <w:vAlign w:val="center"/>
          </w:tcPr>
          <w:p w:rsidR="00B85D58" w:rsidRDefault="00B85D58">
            <w:pPr>
              <w:spacing w:line="440" w:lineRule="exact"/>
              <w:jc w:val="center"/>
              <w:rPr>
                <w:rFonts w:ascii="宋体" w:hAnsi="宋体"/>
                <w:sz w:val="24"/>
              </w:rPr>
            </w:pPr>
          </w:p>
        </w:tc>
      </w:tr>
      <w:tr w:rsidR="00B85D58">
        <w:trPr>
          <w:trHeight w:val="567"/>
        </w:trPr>
        <w:tc>
          <w:tcPr>
            <w:tcW w:w="1728" w:type="dxa"/>
            <w:vAlign w:val="center"/>
          </w:tcPr>
          <w:p w:rsidR="00B85D58" w:rsidRDefault="00B85D58">
            <w:pPr>
              <w:spacing w:line="440" w:lineRule="exact"/>
              <w:jc w:val="center"/>
              <w:rPr>
                <w:rFonts w:ascii="宋体" w:hAnsi="宋体"/>
                <w:sz w:val="24"/>
              </w:rPr>
            </w:pPr>
          </w:p>
        </w:tc>
        <w:tc>
          <w:tcPr>
            <w:tcW w:w="5332" w:type="dxa"/>
            <w:gridSpan w:val="4"/>
            <w:vAlign w:val="center"/>
          </w:tcPr>
          <w:p w:rsidR="00B85D58" w:rsidRDefault="00B85D58">
            <w:pPr>
              <w:spacing w:line="440" w:lineRule="exact"/>
              <w:jc w:val="center"/>
              <w:rPr>
                <w:rFonts w:ascii="宋体" w:hAnsi="宋体"/>
                <w:sz w:val="24"/>
              </w:rPr>
            </w:pPr>
          </w:p>
        </w:tc>
        <w:tc>
          <w:tcPr>
            <w:tcW w:w="2120" w:type="dxa"/>
            <w:gridSpan w:val="2"/>
            <w:vAlign w:val="center"/>
          </w:tcPr>
          <w:p w:rsidR="00B85D58" w:rsidRDefault="00B85D58">
            <w:pPr>
              <w:spacing w:line="440" w:lineRule="exact"/>
              <w:jc w:val="center"/>
              <w:rPr>
                <w:rFonts w:ascii="宋体" w:hAnsi="宋体"/>
                <w:sz w:val="24"/>
              </w:rPr>
            </w:pPr>
          </w:p>
        </w:tc>
      </w:tr>
      <w:tr w:rsidR="00B85D58">
        <w:trPr>
          <w:trHeight w:val="567"/>
        </w:trPr>
        <w:tc>
          <w:tcPr>
            <w:tcW w:w="1728" w:type="dxa"/>
            <w:vAlign w:val="center"/>
          </w:tcPr>
          <w:p w:rsidR="00B85D58" w:rsidRDefault="00B85D58">
            <w:pPr>
              <w:spacing w:line="440" w:lineRule="exact"/>
              <w:jc w:val="center"/>
              <w:rPr>
                <w:rFonts w:ascii="宋体" w:hAnsi="宋体"/>
                <w:sz w:val="24"/>
              </w:rPr>
            </w:pPr>
          </w:p>
        </w:tc>
        <w:tc>
          <w:tcPr>
            <w:tcW w:w="5332" w:type="dxa"/>
            <w:gridSpan w:val="4"/>
            <w:vAlign w:val="center"/>
          </w:tcPr>
          <w:p w:rsidR="00B85D58" w:rsidRDefault="00B85D58">
            <w:pPr>
              <w:spacing w:line="440" w:lineRule="exact"/>
              <w:jc w:val="center"/>
              <w:rPr>
                <w:rFonts w:ascii="宋体" w:hAnsi="宋体"/>
                <w:sz w:val="24"/>
              </w:rPr>
            </w:pPr>
          </w:p>
        </w:tc>
        <w:tc>
          <w:tcPr>
            <w:tcW w:w="2120" w:type="dxa"/>
            <w:gridSpan w:val="2"/>
            <w:vAlign w:val="center"/>
          </w:tcPr>
          <w:p w:rsidR="00B85D58" w:rsidRDefault="00B85D58">
            <w:pPr>
              <w:spacing w:line="440" w:lineRule="exact"/>
              <w:jc w:val="center"/>
              <w:rPr>
                <w:rFonts w:ascii="宋体" w:hAnsi="宋体"/>
                <w:sz w:val="24"/>
              </w:rPr>
            </w:pPr>
          </w:p>
        </w:tc>
      </w:tr>
      <w:tr w:rsidR="00B85D58">
        <w:trPr>
          <w:trHeight w:val="567"/>
        </w:trPr>
        <w:tc>
          <w:tcPr>
            <w:tcW w:w="1728" w:type="dxa"/>
            <w:vAlign w:val="center"/>
          </w:tcPr>
          <w:p w:rsidR="00B85D58" w:rsidRDefault="00B85D58">
            <w:pPr>
              <w:spacing w:line="440" w:lineRule="exact"/>
              <w:jc w:val="center"/>
              <w:rPr>
                <w:rFonts w:ascii="宋体" w:hAnsi="宋体"/>
                <w:sz w:val="24"/>
              </w:rPr>
            </w:pPr>
          </w:p>
        </w:tc>
        <w:tc>
          <w:tcPr>
            <w:tcW w:w="5332" w:type="dxa"/>
            <w:gridSpan w:val="4"/>
            <w:vAlign w:val="center"/>
          </w:tcPr>
          <w:p w:rsidR="00B85D58" w:rsidRDefault="00B85D58">
            <w:pPr>
              <w:spacing w:line="440" w:lineRule="exact"/>
              <w:jc w:val="center"/>
              <w:rPr>
                <w:rFonts w:ascii="宋体" w:hAnsi="宋体"/>
                <w:sz w:val="24"/>
              </w:rPr>
            </w:pPr>
          </w:p>
        </w:tc>
        <w:tc>
          <w:tcPr>
            <w:tcW w:w="2120" w:type="dxa"/>
            <w:gridSpan w:val="2"/>
            <w:vAlign w:val="center"/>
          </w:tcPr>
          <w:p w:rsidR="00B85D58" w:rsidRDefault="00B85D58">
            <w:pPr>
              <w:spacing w:line="440" w:lineRule="exact"/>
              <w:jc w:val="center"/>
              <w:rPr>
                <w:rFonts w:ascii="宋体" w:hAnsi="宋体"/>
                <w:sz w:val="24"/>
              </w:rPr>
            </w:pPr>
          </w:p>
        </w:tc>
      </w:tr>
      <w:tr w:rsidR="00B85D58">
        <w:trPr>
          <w:trHeight w:val="567"/>
        </w:trPr>
        <w:tc>
          <w:tcPr>
            <w:tcW w:w="1728" w:type="dxa"/>
            <w:vAlign w:val="center"/>
          </w:tcPr>
          <w:p w:rsidR="00B85D58" w:rsidRDefault="00B85D58">
            <w:pPr>
              <w:spacing w:line="440" w:lineRule="exact"/>
              <w:jc w:val="center"/>
              <w:rPr>
                <w:rFonts w:ascii="宋体" w:hAnsi="宋体"/>
                <w:sz w:val="24"/>
              </w:rPr>
            </w:pPr>
          </w:p>
        </w:tc>
        <w:tc>
          <w:tcPr>
            <w:tcW w:w="5332" w:type="dxa"/>
            <w:gridSpan w:val="4"/>
            <w:vAlign w:val="center"/>
          </w:tcPr>
          <w:p w:rsidR="00B85D58" w:rsidRDefault="00B85D58">
            <w:pPr>
              <w:spacing w:line="440" w:lineRule="exact"/>
              <w:jc w:val="center"/>
              <w:rPr>
                <w:rFonts w:ascii="宋体" w:hAnsi="宋体"/>
                <w:sz w:val="24"/>
              </w:rPr>
            </w:pPr>
          </w:p>
        </w:tc>
        <w:tc>
          <w:tcPr>
            <w:tcW w:w="2120" w:type="dxa"/>
            <w:gridSpan w:val="2"/>
            <w:vAlign w:val="center"/>
          </w:tcPr>
          <w:p w:rsidR="00B85D58" w:rsidRDefault="00B85D58">
            <w:pPr>
              <w:spacing w:line="440" w:lineRule="exact"/>
              <w:jc w:val="center"/>
              <w:rPr>
                <w:rFonts w:ascii="宋体" w:hAnsi="宋体"/>
                <w:sz w:val="24"/>
              </w:rPr>
            </w:pPr>
          </w:p>
        </w:tc>
      </w:tr>
      <w:tr w:rsidR="00B85D58">
        <w:trPr>
          <w:trHeight w:val="567"/>
        </w:trPr>
        <w:tc>
          <w:tcPr>
            <w:tcW w:w="1728" w:type="dxa"/>
            <w:vAlign w:val="center"/>
          </w:tcPr>
          <w:p w:rsidR="00B85D58" w:rsidRDefault="00B85D58">
            <w:pPr>
              <w:spacing w:line="440" w:lineRule="exact"/>
              <w:jc w:val="center"/>
              <w:rPr>
                <w:rFonts w:ascii="宋体" w:hAnsi="宋体"/>
                <w:sz w:val="24"/>
              </w:rPr>
            </w:pPr>
          </w:p>
        </w:tc>
        <w:tc>
          <w:tcPr>
            <w:tcW w:w="5332" w:type="dxa"/>
            <w:gridSpan w:val="4"/>
            <w:vAlign w:val="center"/>
          </w:tcPr>
          <w:p w:rsidR="00B85D58" w:rsidRDefault="00B85D58">
            <w:pPr>
              <w:spacing w:line="440" w:lineRule="exact"/>
              <w:jc w:val="center"/>
              <w:rPr>
                <w:rFonts w:ascii="宋体" w:hAnsi="宋体"/>
                <w:sz w:val="24"/>
              </w:rPr>
            </w:pPr>
          </w:p>
        </w:tc>
        <w:tc>
          <w:tcPr>
            <w:tcW w:w="2120" w:type="dxa"/>
            <w:gridSpan w:val="2"/>
            <w:vAlign w:val="center"/>
          </w:tcPr>
          <w:p w:rsidR="00B85D58" w:rsidRDefault="00B85D58">
            <w:pPr>
              <w:spacing w:line="440" w:lineRule="exact"/>
              <w:jc w:val="center"/>
              <w:rPr>
                <w:rFonts w:ascii="宋体" w:hAnsi="宋体"/>
                <w:sz w:val="24"/>
              </w:rPr>
            </w:pPr>
          </w:p>
        </w:tc>
      </w:tr>
    </w:tbl>
    <w:p w:rsidR="00B85D58" w:rsidRDefault="00B85D58">
      <w:pPr>
        <w:spacing w:line="440" w:lineRule="exact"/>
        <w:rPr>
          <w:rFonts w:ascii="宋体" w:hAnsi="宋体"/>
          <w:sz w:val="30"/>
        </w:rPr>
      </w:pPr>
    </w:p>
    <w:p w:rsidR="00B85D58" w:rsidRDefault="001F73CF">
      <w:pPr>
        <w:spacing w:line="440" w:lineRule="exact"/>
        <w:rPr>
          <w:rFonts w:ascii="宋体" w:hAnsi="宋体"/>
          <w:sz w:val="30"/>
        </w:rPr>
      </w:pPr>
      <w:r>
        <w:rPr>
          <w:rFonts w:ascii="宋体" w:hAnsi="宋体"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B85D58">
        <w:trPr>
          <w:cantSplit/>
        </w:trPr>
        <w:tc>
          <w:tcPr>
            <w:tcW w:w="468" w:type="dxa"/>
            <w:vMerge w:val="restart"/>
            <w:vAlign w:val="center"/>
          </w:tcPr>
          <w:p w:rsidR="00B85D58" w:rsidRDefault="001F73CF">
            <w:pPr>
              <w:spacing w:line="400" w:lineRule="exact"/>
              <w:jc w:val="center"/>
              <w:rPr>
                <w:rFonts w:ascii="宋体" w:hAnsi="宋体"/>
                <w:sz w:val="24"/>
              </w:rPr>
            </w:pPr>
            <w:r>
              <w:rPr>
                <w:rFonts w:ascii="宋体" w:hAnsi="宋体" w:hint="eastAsia"/>
                <w:sz w:val="24"/>
              </w:rPr>
              <w:t>初</w:t>
            </w:r>
          </w:p>
          <w:p w:rsidR="00B85D58" w:rsidRDefault="001F73CF">
            <w:pPr>
              <w:spacing w:line="400" w:lineRule="exact"/>
              <w:jc w:val="center"/>
              <w:rPr>
                <w:rFonts w:ascii="宋体" w:hAnsi="宋体"/>
                <w:sz w:val="24"/>
              </w:rPr>
            </w:pPr>
            <w:r>
              <w:rPr>
                <w:rFonts w:ascii="宋体" w:hAnsi="宋体" w:hint="eastAsia"/>
                <w:sz w:val="24"/>
              </w:rPr>
              <w:t>审</w:t>
            </w:r>
          </w:p>
          <w:p w:rsidR="00B85D58" w:rsidRDefault="001F73CF">
            <w:pPr>
              <w:spacing w:line="400" w:lineRule="exact"/>
              <w:jc w:val="center"/>
              <w:rPr>
                <w:rFonts w:ascii="宋体" w:hAnsi="宋体"/>
                <w:sz w:val="24"/>
              </w:rPr>
            </w:pPr>
            <w:r>
              <w:rPr>
                <w:rFonts w:ascii="宋体" w:hAnsi="宋体" w:hint="eastAsia"/>
                <w:sz w:val="24"/>
              </w:rPr>
              <w:t>意</w:t>
            </w:r>
          </w:p>
          <w:p w:rsidR="00B85D58" w:rsidRDefault="001F73CF">
            <w:pPr>
              <w:spacing w:line="400" w:lineRule="exact"/>
              <w:jc w:val="center"/>
              <w:rPr>
                <w:rFonts w:ascii="宋体" w:hAnsi="宋体"/>
                <w:sz w:val="24"/>
              </w:rPr>
            </w:pPr>
            <w:r>
              <w:rPr>
                <w:rFonts w:ascii="宋体" w:hAnsi="宋体" w:hint="eastAsia"/>
                <w:sz w:val="24"/>
              </w:rPr>
              <w:t>见</w:t>
            </w:r>
          </w:p>
        </w:tc>
        <w:tc>
          <w:tcPr>
            <w:tcW w:w="1260" w:type="dxa"/>
            <w:vAlign w:val="center"/>
          </w:tcPr>
          <w:p w:rsidR="00B85D58" w:rsidRDefault="001F73CF">
            <w:pPr>
              <w:spacing w:line="440" w:lineRule="exact"/>
              <w:jc w:val="center"/>
              <w:rPr>
                <w:rFonts w:ascii="宋体" w:hAnsi="宋体"/>
                <w:sz w:val="24"/>
              </w:rPr>
            </w:pPr>
            <w:r>
              <w:rPr>
                <w:rFonts w:ascii="宋体" w:hAnsi="宋体" w:hint="eastAsia"/>
                <w:sz w:val="24"/>
              </w:rPr>
              <w:t>立案情况</w:t>
            </w:r>
          </w:p>
        </w:tc>
        <w:tc>
          <w:tcPr>
            <w:tcW w:w="7200" w:type="dxa"/>
          </w:tcPr>
          <w:p w:rsidR="00B85D58" w:rsidRDefault="0065336D">
            <w:pPr>
              <w:spacing w:line="440" w:lineRule="exact"/>
              <w:rPr>
                <w:rFonts w:ascii="宋体" w:hAnsi="宋体"/>
                <w:sz w:val="24"/>
              </w:rPr>
            </w:pPr>
            <w:r>
              <w:rPr>
                <w:rFonts w:ascii="MS Mincho" w:eastAsia="MS Mincho" w:hAnsi="MS Mincho" w:cs="MS Mincho" w:hint="eastAsia"/>
                <w:sz w:val="24"/>
              </w:rPr>
              <w:t>☑</w:t>
            </w:r>
            <w:r w:rsidR="001F73CF">
              <w:rPr>
                <w:rFonts w:ascii="宋体" w:hAnsi="宋体" w:hint="eastAsia"/>
                <w:sz w:val="24"/>
              </w:rPr>
              <w:t>立案      □不予立案</w:t>
            </w:r>
          </w:p>
        </w:tc>
      </w:tr>
      <w:tr w:rsidR="00B85D58">
        <w:trPr>
          <w:cantSplit/>
        </w:trPr>
        <w:tc>
          <w:tcPr>
            <w:tcW w:w="468" w:type="dxa"/>
            <w:vMerge/>
            <w:vAlign w:val="center"/>
          </w:tcPr>
          <w:p w:rsidR="00B85D58" w:rsidRDefault="00B85D58">
            <w:pPr>
              <w:spacing w:line="440" w:lineRule="exact"/>
              <w:jc w:val="center"/>
              <w:rPr>
                <w:rFonts w:ascii="宋体" w:hAnsi="宋体"/>
                <w:sz w:val="24"/>
              </w:rPr>
            </w:pPr>
          </w:p>
        </w:tc>
        <w:tc>
          <w:tcPr>
            <w:tcW w:w="1260" w:type="dxa"/>
            <w:vAlign w:val="center"/>
          </w:tcPr>
          <w:p w:rsidR="00B85D58" w:rsidRDefault="001F73CF">
            <w:pPr>
              <w:spacing w:line="440" w:lineRule="exact"/>
              <w:jc w:val="center"/>
              <w:rPr>
                <w:rFonts w:ascii="宋体" w:hAnsi="宋体"/>
                <w:sz w:val="24"/>
              </w:rPr>
            </w:pPr>
            <w:r>
              <w:rPr>
                <w:rFonts w:ascii="宋体" w:hAnsi="宋体" w:hint="eastAsia"/>
                <w:sz w:val="24"/>
              </w:rPr>
              <w:t>类    别</w:t>
            </w:r>
          </w:p>
        </w:tc>
        <w:tc>
          <w:tcPr>
            <w:tcW w:w="7200" w:type="dxa"/>
            <w:vAlign w:val="center"/>
          </w:tcPr>
          <w:p w:rsidR="00B85D58" w:rsidRDefault="001F73CF">
            <w:pPr>
              <w:spacing w:line="500" w:lineRule="exact"/>
              <w:rPr>
                <w:rFonts w:ascii="宋体" w:hAnsi="宋体"/>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w:t>
            </w:r>
            <w:r w:rsidR="0065336D">
              <w:rPr>
                <w:rFonts w:ascii="MS Mincho" w:eastAsia="MS Mincho" w:hAnsi="MS Mincho" w:cs="MS Mincho" w:hint="eastAsia"/>
                <w:sz w:val="24"/>
              </w:rPr>
              <w:t>☑</w:t>
            </w:r>
            <w:r>
              <w:rPr>
                <w:rFonts w:ascii="宋体" w:hAnsi="宋体" w:hint="eastAsia"/>
                <w:sz w:val="24"/>
              </w:rPr>
              <w:t xml:space="preserve">社会建设  </w:t>
            </w:r>
          </w:p>
          <w:p w:rsidR="00B85D58" w:rsidRDefault="001F73CF" w:rsidP="00962620">
            <w:pPr>
              <w:spacing w:line="500" w:lineRule="exact"/>
              <w:ind w:firstLineChars="300" w:firstLine="720"/>
              <w:rPr>
                <w:rFonts w:ascii="宋体" w:hAnsi="宋体"/>
                <w:sz w:val="24"/>
              </w:rPr>
            </w:pPr>
            <w:r>
              <w:rPr>
                <w:rFonts w:ascii="宋体" w:hAnsi="宋体" w:hint="eastAsia"/>
                <w:sz w:val="24"/>
              </w:rPr>
              <w:t>□生态建设    □人民生活    □综合</w:t>
            </w:r>
          </w:p>
        </w:tc>
      </w:tr>
      <w:tr w:rsidR="00B85D58">
        <w:trPr>
          <w:cantSplit/>
        </w:trPr>
        <w:tc>
          <w:tcPr>
            <w:tcW w:w="1728" w:type="dxa"/>
            <w:gridSpan w:val="2"/>
            <w:vAlign w:val="center"/>
          </w:tcPr>
          <w:p w:rsidR="00B85D58" w:rsidRDefault="001F73CF">
            <w:pPr>
              <w:spacing w:line="440" w:lineRule="exact"/>
              <w:jc w:val="center"/>
              <w:rPr>
                <w:rFonts w:ascii="宋体" w:hAnsi="宋体"/>
                <w:sz w:val="24"/>
              </w:rPr>
            </w:pPr>
            <w:r>
              <w:rPr>
                <w:rFonts w:ascii="宋体" w:hAnsi="宋体" w:hint="eastAsia"/>
                <w:sz w:val="24"/>
              </w:rPr>
              <w:t>审 批 意 见</w:t>
            </w:r>
          </w:p>
        </w:tc>
        <w:tc>
          <w:tcPr>
            <w:tcW w:w="7200" w:type="dxa"/>
          </w:tcPr>
          <w:p w:rsidR="00B85D58" w:rsidRDefault="00B85D58">
            <w:pPr>
              <w:spacing w:line="440" w:lineRule="exact"/>
              <w:rPr>
                <w:rFonts w:ascii="宋体" w:hAnsi="宋体"/>
                <w:sz w:val="24"/>
              </w:rPr>
            </w:pPr>
          </w:p>
          <w:p w:rsidR="00B85D58" w:rsidRDefault="00B85D58">
            <w:pPr>
              <w:spacing w:line="440" w:lineRule="exact"/>
              <w:rPr>
                <w:rFonts w:ascii="宋体" w:hAnsi="宋体"/>
                <w:sz w:val="24"/>
              </w:rPr>
            </w:pPr>
          </w:p>
        </w:tc>
      </w:tr>
    </w:tbl>
    <w:p w:rsidR="00B85D58" w:rsidRDefault="001F73CF">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hint="eastAsia"/>
          <w:kern w:val="0"/>
          <w:szCs w:val="21"/>
        </w:rPr>
        <w:t>请通过洞头区政府门户网站（http://www.dongtou.gov.cn/）“建议提案”和洞头政协网站（http://zxb.dongtou.gov.cn/）“提案管理系统”提交电子文档提案。</w:t>
      </w:r>
    </w:p>
    <w:p w:rsidR="00962620" w:rsidRDefault="00962620" w:rsidP="00962620">
      <w:pPr>
        <w:pStyle w:val="a6"/>
        <w:rPr>
          <w:rFonts w:ascii="方正小标宋简体" w:eastAsia="方正小标宋简体" w:hAnsi="方正小标宋简体" w:cs="方正小标宋简体"/>
          <w:sz w:val="36"/>
          <w:szCs w:val="36"/>
        </w:rPr>
      </w:pPr>
      <w:r w:rsidRPr="00962620">
        <w:rPr>
          <w:rFonts w:ascii="方正小标宋简体" w:eastAsia="方正小标宋简体" w:hAnsi="方正小标宋简体" w:cs="方正小标宋简体" w:hint="eastAsia"/>
          <w:sz w:val="36"/>
          <w:szCs w:val="36"/>
        </w:rPr>
        <w:lastRenderedPageBreak/>
        <w:t>关于尽快落实电动车保险及管理的提案</w:t>
      </w:r>
    </w:p>
    <w:p w:rsidR="00962620" w:rsidRPr="00962620" w:rsidRDefault="00962620" w:rsidP="00962620"/>
    <w:p w:rsidR="00B85D58" w:rsidRDefault="001F73CF" w:rsidP="00962620">
      <w:pPr>
        <w:spacing w:line="572"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222222"/>
          <w:sz w:val="28"/>
          <w:szCs w:val="28"/>
          <w:shd w:val="clear" w:color="auto" w:fill="FFFFFF"/>
        </w:rPr>
        <w:t>随着经济的快速发展，城市建设进程在不断加快，车辆保有量逐年上升，交通流量逐年增大，通行压力与日俱增，因此，不少市民选择了灵活、便捷的电动车作为出行工具，然而在缓解出行压力的同时也在原本拥挤的道路上新增了许多的安全问题</w:t>
      </w:r>
      <w:r>
        <w:rPr>
          <w:rFonts w:ascii="仿宋" w:eastAsia="仿宋" w:hAnsi="仿宋" w:hint="eastAsia"/>
          <w:sz w:val="28"/>
          <w:szCs w:val="28"/>
        </w:rPr>
        <w:t>。</w:t>
      </w:r>
      <w:r>
        <w:rPr>
          <w:rFonts w:ascii="仿宋_GB2312" w:eastAsia="仿宋_GB2312" w:hAnsi="仿宋_GB2312" w:cs="仿宋_GB2312" w:hint="eastAsia"/>
          <w:color w:val="222222"/>
          <w:sz w:val="28"/>
          <w:szCs w:val="28"/>
          <w:shd w:val="clear" w:color="auto" w:fill="FFFFFF"/>
        </w:rPr>
        <w:t>在电动车缺乏相关交通法规约束的背景下，如何规避风险、保障市民合法权益显得尤为重要。</w:t>
      </w:r>
    </w:p>
    <w:p w:rsidR="00B85D58" w:rsidRDefault="001F73CF">
      <w:pPr>
        <w:ind w:firstLineChars="200" w:firstLine="560"/>
        <w:rPr>
          <w:rFonts w:ascii="黑体" w:eastAsia="黑体" w:hAnsi="黑体" w:cs="黑体"/>
          <w:sz w:val="28"/>
          <w:szCs w:val="28"/>
        </w:rPr>
      </w:pPr>
      <w:r>
        <w:rPr>
          <w:rFonts w:ascii="黑体" w:eastAsia="黑体" w:hAnsi="黑体" w:cs="黑体" w:hint="eastAsia"/>
          <w:sz w:val="28"/>
          <w:szCs w:val="28"/>
        </w:rPr>
        <w:t>主要问题——电动车无保险及无人问津</w:t>
      </w:r>
    </w:p>
    <w:p w:rsidR="00B85D58" w:rsidRDefault="001F73CF">
      <w:pPr>
        <w:spacing w:line="572" w:lineRule="exact"/>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 xml:space="preserve">近年来，随着电动车用户不断增加，有关电动车的交通事故也逐渐增多，2017年，洞头区与电动车相关的交通事故多达433起，受伤人数达263人，死亡3人，伴随着事故带来的伤害，隐藏在这些数据背后的，是电动车车主因为未买保险而引发的一系列理赔及责任落实纷争。而这也成为了近年来电动车使用中出现的最为严重的问题。                        </w:t>
      </w:r>
    </w:p>
    <w:p w:rsidR="00B85D58" w:rsidRDefault="001F73CF">
      <w:pPr>
        <w:spacing w:line="572" w:lineRule="exact"/>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首先，基层反映在购买电动车时，没有强制保险的束缚，很多电动车车主购买保险意识不强，常常抱有侥幸心理，对交通事故可能造成的后果估计不足，认为即使发生了事故也不用赔偿多大的损失，甚至还不清楚电动车可以购买保险。其次，随着电动车基数的不断扩大，由于没有以强制保险购买为前提，建立完善的保障体系，“一车一牌”的电动车规范化管理无法实现，一旦电动车发生事故，保险公司就会面临较大的理赔风险。最后，由于保险公司险种单一加上电动车存量大、出险率高，保险公司并不愿意积极地与政府合作拓展强制保险业务。</w:t>
      </w:r>
    </w:p>
    <w:p w:rsidR="00B85D58" w:rsidRDefault="001F73CF">
      <w:pPr>
        <w:ind w:firstLineChars="200" w:firstLine="560"/>
        <w:rPr>
          <w:rFonts w:ascii="黑体" w:eastAsia="黑体" w:hAnsi="黑体" w:cs="黑体"/>
          <w:sz w:val="28"/>
          <w:szCs w:val="28"/>
        </w:rPr>
      </w:pPr>
      <w:r>
        <w:rPr>
          <w:rFonts w:ascii="黑体" w:eastAsia="黑体" w:hAnsi="黑体" w:cs="黑体" w:hint="eastAsia"/>
          <w:sz w:val="28"/>
          <w:szCs w:val="28"/>
        </w:rPr>
        <w:t>不利影响</w:t>
      </w:r>
    </w:p>
    <w:p w:rsidR="00B85D58" w:rsidRDefault="001F73CF">
      <w:pPr>
        <w:spacing w:line="572" w:lineRule="exact"/>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1、基层反映，目前电动车车主普遍缺乏安全意识，电瓶车闯红灯、</w:t>
      </w:r>
      <w:r>
        <w:rPr>
          <w:rFonts w:ascii="仿宋_GB2312" w:eastAsia="仿宋_GB2312" w:hAnsi="仿宋_GB2312" w:cs="仿宋_GB2312" w:hint="eastAsia"/>
          <w:color w:val="222222"/>
          <w:sz w:val="28"/>
          <w:szCs w:val="28"/>
          <w:shd w:val="clear" w:color="auto" w:fill="FFFFFF"/>
        </w:rPr>
        <w:lastRenderedPageBreak/>
        <w:t>突然改道、载人、逆行、任意穿插在机动车道等违法现象屡见不鲜。电动车车主往往开到哪里停在哪里，不论时间与场合。一些车主会把电瓶车停在消防疏散通道给电动车充电，违反了《关于规范电动车停放充电加强火灾防范的通告》的相关事项，大大增加了火灾风险。在没有强制保险保护的情况下，车主和受害者往往会遭受巨大的人身及财产损失。</w:t>
      </w:r>
    </w:p>
    <w:p w:rsidR="00B85D58" w:rsidRDefault="001F73CF">
      <w:pPr>
        <w:spacing w:line="572" w:lineRule="exact"/>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2、基层反映，现在市场上热卖的、道路上行驶的“电动车”五花八门，大多数车型无论从空车质量、外形尺寸、最高时速等均已超过了国家标准，只具有燃油动力装置，不具备人力脚踏驱动装置，而根据新颁布的《电动自行车安全技术规范》显示，电动车必须具备脚踏骑行功能。超标车的出现带来了极大的安全隐患，在未交强制保险的情况下，一旦发生交通事故就会对双方及管理部门带来更多的负担，引发冲突。</w:t>
      </w:r>
    </w:p>
    <w:p w:rsidR="00B85D58" w:rsidRDefault="001F73CF">
      <w:pPr>
        <w:ind w:firstLineChars="200" w:firstLine="560"/>
        <w:rPr>
          <w:rFonts w:ascii="黑体" w:eastAsia="黑体" w:hAnsi="黑体" w:cs="黑体"/>
          <w:sz w:val="28"/>
          <w:szCs w:val="28"/>
        </w:rPr>
      </w:pPr>
      <w:r>
        <w:rPr>
          <w:rFonts w:ascii="黑体" w:eastAsia="黑体" w:hAnsi="黑体" w:cs="黑体" w:hint="eastAsia"/>
          <w:sz w:val="28"/>
          <w:szCs w:val="28"/>
        </w:rPr>
        <w:t>二、基层建议</w:t>
      </w:r>
    </w:p>
    <w:p w:rsidR="00B85D58" w:rsidRDefault="001F73CF" w:rsidP="00962620">
      <w:pPr>
        <w:ind w:firstLineChars="200" w:firstLine="56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（一）加强立法，推广强制保险。</w:t>
      </w:r>
    </w:p>
    <w:p w:rsidR="00B85D58" w:rsidRDefault="001F73CF">
      <w:pPr>
        <w:spacing w:line="572" w:lineRule="exact"/>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第一，有关部门应建立电动车强制保险制度，开展强制推行电动车三责险、交强险工作，加强管理，将购买强制保险作为上牌前提，进行实名登记，学习淳安县“一车一保险一编码” 的安全出行模式。推动多方面合作，由政府牵头实行电动车带牌销售工作，公安交警部门积极联系中国人保财险公司推出电动车第三责任险、驾驶员意外险等险种,实现互利共赢。</w:t>
      </w:r>
    </w:p>
    <w:p w:rsidR="00B85D58" w:rsidRDefault="001F73CF">
      <w:pPr>
        <w:spacing w:line="572" w:lineRule="exact"/>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第二，推动电动车企业加大卖车送保险活动，将保险销售融入到电动车销售中去,配备专业的电动车事故勘察员，进而确保整个保险赔付机制的有效运转，让车主放心，实现隐性的“强制”保险购买。</w:t>
      </w:r>
    </w:p>
    <w:p w:rsidR="00B85D58" w:rsidRDefault="001F73C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222222"/>
          <w:sz w:val="28"/>
          <w:szCs w:val="28"/>
          <w:shd w:val="clear" w:color="auto" w:fill="FFFFFF"/>
        </w:rPr>
        <w:t>第三，本着确保所有道路交通参与方的共同利益最大化的原则，坚持电动车的非机动车属性，对电动</w:t>
      </w:r>
      <w:bookmarkStart w:id="0" w:name="_GoBack"/>
      <w:bookmarkEnd w:id="0"/>
      <w:r>
        <w:rPr>
          <w:rFonts w:ascii="仿宋_GB2312" w:eastAsia="仿宋_GB2312" w:hAnsi="仿宋_GB2312" w:cs="仿宋_GB2312" w:hint="eastAsia"/>
          <w:color w:val="222222"/>
          <w:sz w:val="28"/>
          <w:szCs w:val="28"/>
          <w:shd w:val="clear" w:color="auto" w:fill="FFFFFF"/>
        </w:rPr>
        <w:t>车的速度、尺寸、重量等指标有所调</w:t>
      </w:r>
      <w:r>
        <w:rPr>
          <w:rFonts w:ascii="仿宋_GB2312" w:eastAsia="仿宋_GB2312" w:hAnsi="仿宋_GB2312" w:cs="仿宋_GB2312" w:hint="eastAsia"/>
          <w:color w:val="222222"/>
          <w:sz w:val="28"/>
          <w:szCs w:val="28"/>
          <w:shd w:val="clear" w:color="auto" w:fill="FFFFFF"/>
        </w:rPr>
        <w:lastRenderedPageBreak/>
        <w:t>整的基础上加以限制，及时更新《电动自行车通用技术条件》，从源头上遏制“超标车”的生产、销售，使其与强制保险结合形成双保</w:t>
      </w:r>
      <w:r>
        <w:rPr>
          <w:rFonts w:ascii="仿宋_GB2312" w:eastAsia="仿宋_GB2312" w:hAnsi="仿宋_GB2312" w:cs="仿宋_GB2312" w:hint="eastAsia"/>
          <w:sz w:val="28"/>
          <w:szCs w:val="28"/>
        </w:rPr>
        <w:t>障。</w:t>
      </w:r>
    </w:p>
    <w:p w:rsidR="00B85D58" w:rsidRDefault="001F73CF" w:rsidP="00962620">
      <w:pPr>
        <w:ind w:firstLineChars="200" w:firstLine="56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（二）积极宣传，推进社会共治。</w:t>
      </w:r>
    </w:p>
    <w:p w:rsidR="00B85D58" w:rsidRDefault="001F73CF">
      <w:pPr>
        <w:spacing w:line="572" w:lineRule="exact"/>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有关部门应开展宣传教育进社区、进学校、进企业等活动，充分利用广播、电台、报纸、微信公众号等媒介，积极宣传电动车保险有关事项，提高电动车车主购买保险的意识，形成社会共识。</w:t>
      </w:r>
    </w:p>
    <w:p w:rsidR="00B85D58" w:rsidRDefault="001F73CF" w:rsidP="00962620">
      <w:pPr>
        <w:ind w:firstLineChars="200" w:firstLine="560"/>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（三）精心组织，强化协同联动。</w:t>
      </w:r>
    </w:p>
    <w:p w:rsidR="00B85D58" w:rsidRDefault="001F73CF">
      <w:pPr>
        <w:spacing w:line="572" w:lineRule="exact"/>
        <w:ind w:firstLineChars="200" w:firstLine="560"/>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政府应成立电动车专项行动领导小组 ，下设工作组，相关部门要迅速参照成立相应工作机构，对如何推进电动车车主保险购买进行责任及分工落实。公安、交通运输、民政、工商质监、</w:t>
      </w:r>
      <w:hyperlink r:id="rId7" w:tgtFrame="_blank" w:history="1">
        <w:r>
          <w:rPr>
            <w:rFonts w:ascii="仿宋_GB2312" w:eastAsia="仿宋_GB2312" w:hAnsi="仿宋_GB2312" w:cs="仿宋_GB2312" w:hint="eastAsia"/>
            <w:color w:val="222222"/>
            <w:sz w:val="28"/>
            <w:szCs w:val="28"/>
            <w:shd w:val="clear" w:color="auto" w:fill="FFFFFF"/>
          </w:rPr>
          <w:t>人力资源社会保障</w:t>
        </w:r>
      </w:hyperlink>
      <w:r>
        <w:rPr>
          <w:rFonts w:ascii="仿宋_GB2312" w:eastAsia="仿宋_GB2312" w:hAnsi="仿宋_GB2312" w:cs="仿宋_GB2312" w:hint="eastAsia"/>
          <w:color w:val="222222"/>
          <w:sz w:val="28"/>
          <w:szCs w:val="28"/>
          <w:shd w:val="clear" w:color="auto" w:fill="FFFFFF"/>
        </w:rPr>
        <w:t>部门要加强联动，统一指挥协调，集中组织力量落实电动车保险，提高上路检查频率，确保整治工作顺利开展。</w:t>
      </w:r>
    </w:p>
    <w:sectPr w:rsidR="00B85D58" w:rsidSect="00B85D58">
      <w:pgSz w:w="11906" w:h="16838"/>
      <w:pgMar w:top="1531"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37B" w:rsidRDefault="0097637B" w:rsidP="00962620">
      <w:r>
        <w:separator/>
      </w:r>
    </w:p>
  </w:endnote>
  <w:endnote w:type="continuationSeparator" w:id="1">
    <w:p w:rsidR="0097637B" w:rsidRDefault="0097637B" w:rsidP="00962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37B" w:rsidRDefault="0097637B" w:rsidP="00962620">
      <w:r>
        <w:separator/>
      </w:r>
    </w:p>
  </w:footnote>
  <w:footnote w:type="continuationSeparator" w:id="1">
    <w:p w:rsidR="0097637B" w:rsidRDefault="0097637B" w:rsidP="00962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08D"/>
    <w:rsid w:val="00013832"/>
    <w:rsid w:val="00025781"/>
    <w:rsid w:val="00052CCC"/>
    <w:rsid w:val="0005764B"/>
    <w:rsid w:val="0006104A"/>
    <w:rsid w:val="00075DA1"/>
    <w:rsid w:val="00077054"/>
    <w:rsid w:val="000D353F"/>
    <w:rsid w:val="000D3F3A"/>
    <w:rsid w:val="00140145"/>
    <w:rsid w:val="00145412"/>
    <w:rsid w:val="001465BD"/>
    <w:rsid w:val="001679B5"/>
    <w:rsid w:val="00184F72"/>
    <w:rsid w:val="001A3531"/>
    <w:rsid w:val="001A6BE8"/>
    <w:rsid w:val="001F73CF"/>
    <w:rsid w:val="00215BD8"/>
    <w:rsid w:val="00244833"/>
    <w:rsid w:val="002672D3"/>
    <w:rsid w:val="00273BC4"/>
    <w:rsid w:val="00291FDA"/>
    <w:rsid w:val="002B023A"/>
    <w:rsid w:val="00303A15"/>
    <w:rsid w:val="00331335"/>
    <w:rsid w:val="00335371"/>
    <w:rsid w:val="00343193"/>
    <w:rsid w:val="0036191A"/>
    <w:rsid w:val="003760FD"/>
    <w:rsid w:val="0039038B"/>
    <w:rsid w:val="003932C9"/>
    <w:rsid w:val="003F06C8"/>
    <w:rsid w:val="0040481A"/>
    <w:rsid w:val="00455045"/>
    <w:rsid w:val="00461B78"/>
    <w:rsid w:val="00462F4B"/>
    <w:rsid w:val="004B5553"/>
    <w:rsid w:val="004C6CF8"/>
    <w:rsid w:val="004F5B6C"/>
    <w:rsid w:val="00547AC5"/>
    <w:rsid w:val="005922EC"/>
    <w:rsid w:val="005B036E"/>
    <w:rsid w:val="005B1727"/>
    <w:rsid w:val="005C1BE6"/>
    <w:rsid w:val="005D0582"/>
    <w:rsid w:val="005E17FC"/>
    <w:rsid w:val="00652F46"/>
    <w:rsid w:val="0065336D"/>
    <w:rsid w:val="006713F7"/>
    <w:rsid w:val="00683DAF"/>
    <w:rsid w:val="0069359D"/>
    <w:rsid w:val="007200F2"/>
    <w:rsid w:val="00746BDB"/>
    <w:rsid w:val="007503B0"/>
    <w:rsid w:val="00761402"/>
    <w:rsid w:val="0078719C"/>
    <w:rsid w:val="00794B27"/>
    <w:rsid w:val="007C47B0"/>
    <w:rsid w:val="0082308D"/>
    <w:rsid w:val="008271AD"/>
    <w:rsid w:val="00860B96"/>
    <w:rsid w:val="0086632D"/>
    <w:rsid w:val="00881F99"/>
    <w:rsid w:val="00895F33"/>
    <w:rsid w:val="008B29DE"/>
    <w:rsid w:val="008B31C8"/>
    <w:rsid w:val="008C288B"/>
    <w:rsid w:val="008C6E68"/>
    <w:rsid w:val="008F720F"/>
    <w:rsid w:val="00956F2B"/>
    <w:rsid w:val="00957F5D"/>
    <w:rsid w:val="00962620"/>
    <w:rsid w:val="00975BD6"/>
    <w:rsid w:val="0097637B"/>
    <w:rsid w:val="00997180"/>
    <w:rsid w:val="009B49C8"/>
    <w:rsid w:val="009F165E"/>
    <w:rsid w:val="009F56A8"/>
    <w:rsid w:val="009F56BA"/>
    <w:rsid w:val="009F57E0"/>
    <w:rsid w:val="009F6EC3"/>
    <w:rsid w:val="00A07C93"/>
    <w:rsid w:val="00A43599"/>
    <w:rsid w:val="00A6655B"/>
    <w:rsid w:val="00A87F07"/>
    <w:rsid w:val="00AB403D"/>
    <w:rsid w:val="00AC12D5"/>
    <w:rsid w:val="00B12BC6"/>
    <w:rsid w:val="00B7488A"/>
    <w:rsid w:val="00B753A4"/>
    <w:rsid w:val="00B85D58"/>
    <w:rsid w:val="00BB7A60"/>
    <w:rsid w:val="00BF0D8F"/>
    <w:rsid w:val="00C55683"/>
    <w:rsid w:val="00C62B80"/>
    <w:rsid w:val="00C65447"/>
    <w:rsid w:val="00C70003"/>
    <w:rsid w:val="00C942FD"/>
    <w:rsid w:val="00CB7D90"/>
    <w:rsid w:val="00D0099E"/>
    <w:rsid w:val="00D36F51"/>
    <w:rsid w:val="00D5760D"/>
    <w:rsid w:val="00D654C0"/>
    <w:rsid w:val="00D65B63"/>
    <w:rsid w:val="00D742C0"/>
    <w:rsid w:val="00D831DB"/>
    <w:rsid w:val="00D96976"/>
    <w:rsid w:val="00DA3F8A"/>
    <w:rsid w:val="00DA4B3F"/>
    <w:rsid w:val="00DF3DA7"/>
    <w:rsid w:val="00E215DD"/>
    <w:rsid w:val="00E32D96"/>
    <w:rsid w:val="00E415C2"/>
    <w:rsid w:val="00E43F5C"/>
    <w:rsid w:val="00E60C6B"/>
    <w:rsid w:val="00E63253"/>
    <w:rsid w:val="00E774D6"/>
    <w:rsid w:val="00EC4A65"/>
    <w:rsid w:val="00ED115C"/>
    <w:rsid w:val="00F218C0"/>
    <w:rsid w:val="00F23AB1"/>
    <w:rsid w:val="00F37AE2"/>
    <w:rsid w:val="00F42235"/>
    <w:rsid w:val="00FB3344"/>
    <w:rsid w:val="00FC6814"/>
    <w:rsid w:val="00FD5450"/>
    <w:rsid w:val="00FF2608"/>
    <w:rsid w:val="00FF3F49"/>
    <w:rsid w:val="029D257B"/>
    <w:rsid w:val="05706C45"/>
    <w:rsid w:val="0816484D"/>
    <w:rsid w:val="0C586802"/>
    <w:rsid w:val="0EC51B13"/>
    <w:rsid w:val="21B46230"/>
    <w:rsid w:val="37404360"/>
    <w:rsid w:val="4ACE10A3"/>
    <w:rsid w:val="56710796"/>
    <w:rsid w:val="5D960362"/>
    <w:rsid w:val="682A67BD"/>
    <w:rsid w:val="6B270947"/>
    <w:rsid w:val="70213C98"/>
    <w:rsid w:val="7E67123F"/>
    <w:rsid w:val="7EF05A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D5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B85D58"/>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B85D58"/>
    <w:pPr>
      <w:keepNext/>
      <w:keepLines/>
      <w:spacing w:line="413" w:lineRule="auto"/>
      <w:outlineLvl w:val="1"/>
    </w:pPr>
    <w:rPr>
      <w:rFonts w:ascii="Arial" w:eastAsia="黑体" w:hAnsi="Arial"/>
      <w:b/>
      <w:sz w:val="32"/>
    </w:rPr>
  </w:style>
  <w:style w:type="paragraph" w:styleId="3">
    <w:name w:val="heading 3"/>
    <w:basedOn w:val="a"/>
    <w:next w:val="a"/>
    <w:link w:val="3Char"/>
    <w:unhideWhenUsed/>
    <w:qFormat/>
    <w:rsid w:val="00B85D58"/>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B85D5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B85D5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B85D58"/>
    <w:pPr>
      <w:ind w:leftChars="2500" w:left="100"/>
    </w:pPr>
  </w:style>
  <w:style w:type="paragraph" w:styleId="a4">
    <w:name w:val="footer"/>
    <w:basedOn w:val="a"/>
    <w:link w:val="Char0"/>
    <w:qFormat/>
    <w:rsid w:val="00B85D58"/>
    <w:pPr>
      <w:tabs>
        <w:tab w:val="center" w:pos="4153"/>
        <w:tab w:val="right" w:pos="8306"/>
      </w:tabs>
      <w:snapToGrid w:val="0"/>
      <w:jc w:val="left"/>
    </w:pPr>
    <w:rPr>
      <w:sz w:val="18"/>
      <w:szCs w:val="18"/>
    </w:rPr>
  </w:style>
  <w:style w:type="paragraph" w:styleId="a5">
    <w:name w:val="header"/>
    <w:basedOn w:val="a"/>
    <w:link w:val="Char1"/>
    <w:qFormat/>
    <w:rsid w:val="00B85D58"/>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rsid w:val="00B85D58"/>
    <w:pPr>
      <w:spacing w:before="240" w:after="60"/>
      <w:jc w:val="center"/>
      <w:outlineLvl w:val="0"/>
    </w:pPr>
    <w:rPr>
      <w:rFonts w:asciiTheme="majorHAnsi" w:eastAsia="宋体" w:hAnsiTheme="majorHAnsi" w:cstheme="majorBidi"/>
      <w:b/>
      <w:bCs/>
      <w:sz w:val="32"/>
      <w:szCs w:val="32"/>
    </w:rPr>
  </w:style>
  <w:style w:type="character" w:styleId="a7">
    <w:name w:val="Hyperlink"/>
    <w:basedOn w:val="a0"/>
    <w:uiPriority w:val="99"/>
    <w:unhideWhenUsed/>
    <w:rsid w:val="00B85D58"/>
    <w:rPr>
      <w:color w:val="0000FF"/>
      <w:u w:val="single"/>
    </w:rPr>
  </w:style>
  <w:style w:type="paragraph" w:styleId="a8">
    <w:name w:val="List Paragraph"/>
    <w:basedOn w:val="a"/>
    <w:uiPriority w:val="99"/>
    <w:unhideWhenUsed/>
    <w:qFormat/>
    <w:rsid w:val="00B85D58"/>
    <w:pPr>
      <w:ind w:firstLineChars="200" w:firstLine="420"/>
    </w:pPr>
  </w:style>
  <w:style w:type="character" w:customStyle="1" w:styleId="Char">
    <w:name w:val="日期 Char"/>
    <w:basedOn w:val="a0"/>
    <w:link w:val="a3"/>
    <w:qFormat/>
    <w:rsid w:val="00B85D58"/>
    <w:rPr>
      <w:rFonts w:asciiTheme="minorHAnsi" w:eastAsiaTheme="minorEastAsia" w:hAnsiTheme="minorHAnsi" w:cstheme="minorBidi"/>
      <w:kern w:val="2"/>
      <w:sz w:val="21"/>
      <w:szCs w:val="24"/>
    </w:rPr>
  </w:style>
  <w:style w:type="character" w:customStyle="1" w:styleId="1Char">
    <w:name w:val="标题 1 Char"/>
    <w:basedOn w:val="a0"/>
    <w:link w:val="1"/>
    <w:rsid w:val="00B85D58"/>
    <w:rPr>
      <w:rFonts w:asciiTheme="minorHAnsi" w:eastAsiaTheme="minorEastAsia" w:hAnsiTheme="minorHAnsi" w:cstheme="minorBidi"/>
      <w:b/>
      <w:bCs/>
      <w:kern w:val="44"/>
      <w:sz w:val="44"/>
      <w:szCs w:val="44"/>
    </w:rPr>
  </w:style>
  <w:style w:type="character" w:customStyle="1" w:styleId="3Char">
    <w:name w:val="标题 3 Char"/>
    <w:basedOn w:val="a0"/>
    <w:link w:val="3"/>
    <w:rsid w:val="00B85D58"/>
    <w:rPr>
      <w:rFonts w:asciiTheme="minorHAnsi" w:eastAsiaTheme="minorEastAsia" w:hAnsiTheme="minorHAnsi" w:cstheme="minorBidi"/>
      <w:b/>
      <w:bCs/>
      <w:kern w:val="2"/>
      <w:sz w:val="32"/>
      <w:szCs w:val="32"/>
    </w:rPr>
  </w:style>
  <w:style w:type="character" w:customStyle="1" w:styleId="4Char">
    <w:name w:val="标题 4 Char"/>
    <w:basedOn w:val="a0"/>
    <w:link w:val="4"/>
    <w:qFormat/>
    <w:rsid w:val="00B85D58"/>
    <w:rPr>
      <w:rFonts w:asciiTheme="majorHAnsi" w:eastAsiaTheme="majorEastAsia" w:hAnsiTheme="majorHAnsi" w:cstheme="majorBidi"/>
      <w:b/>
      <w:bCs/>
      <w:kern w:val="2"/>
      <w:sz w:val="28"/>
      <w:szCs w:val="28"/>
    </w:rPr>
  </w:style>
  <w:style w:type="character" w:customStyle="1" w:styleId="5Char">
    <w:name w:val="标题 5 Char"/>
    <w:basedOn w:val="a0"/>
    <w:link w:val="5"/>
    <w:qFormat/>
    <w:rsid w:val="00B85D58"/>
    <w:rPr>
      <w:rFonts w:asciiTheme="minorHAnsi" w:eastAsiaTheme="minorEastAsia" w:hAnsiTheme="minorHAnsi" w:cstheme="minorBidi"/>
      <w:b/>
      <w:bCs/>
      <w:kern w:val="2"/>
      <w:sz w:val="28"/>
      <w:szCs w:val="28"/>
    </w:rPr>
  </w:style>
  <w:style w:type="character" w:customStyle="1" w:styleId="Char2">
    <w:name w:val="标题 Char"/>
    <w:basedOn w:val="a0"/>
    <w:link w:val="a6"/>
    <w:qFormat/>
    <w:rsid w:val="00B85D58"/>
    <w:rPr>
      <w:rFonts w:asciiTheme="majorHAnsi" w:hAnsiTheme="majorHAnsi" w:cstheme="majorBidi"/>
      <w:b/>
      <w:bCs/>
      <w:kern w:val="2"/>
      <w:sz w:val="32"/>
      <w:szCs w:val="32"/>
    </w:rPr>
  </w:style>
  <w:style w:type="character" w:customStyle="1" w:styleId="Char1">
    <w:name w:val="页眉 Char"/>
    <w:basedOn w:val="a0"/>
    <w:link w:val="a5"/>
    <w:qFormat/>
    <w:rsid w:val="00B85D58"/>
    <w:rPr>
      <w:rFonts w:asciiTheme="minorHAnsi" w:eastAsiaTheme="minorEastAsia" w:hAnsiTheme="minorHAnsi" w:cstheme="minorBidi"/>
      <w:kern w:val="2"/>
      <w:sz w:val="18"/>
      <w:szCs w:val="18"/>
    </w:rPr>
  </w:style>
  <w:style w:type="character" w:customStyle="1" w:styleId="Char0">
    <w:name w:val="页脚 Char"/>
    <w:basedOn w:val="a0"/>
    <w:link w:val="a4"/>
    <w:qFormat/>
    <w:rsid w:val="00B85D5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gou.com/v140010346.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313</Words>
  <Characters>1788</Characters>
  <Application>Microsoft Office Word</Application>
  <DocSecurity>0</DocSecurity>
  <Lines>14</Lines>
  <Paragraphs>4</Paragraphs>
  <ScaleCrop>false</ScaleCrop>
  <Company>Microsoft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张华丽</cp:lastModifiedBy>
  <cp:revision>12</cp:revision>
  <cp:lastPrinted>2018-02-25T13:00:00Z</cp:lastPrinted>
  <dcterms:created xsi:type="dcterms:W3CDTF">2018-02-06T07:47:00Z</dcterms:created>
  <dcterms:modified xsi:type="dcterms:W3CDTF">2018-03-22T02:51:00Z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