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266" w:rsidRDefault="00B108DF">
      <w:pPr>
        <w:wordWrap w:val="0"/>
        <w:spacing w:line="440" w:lineRule="exact"/>
        <w:ind w:right="300"/>
        <w:jc w:val="right"/>
        <w:rPr>
          <w:sz w:val="30"/>
        </w:rPr>
      </w:pPr>
      <w:r>
        <w:rPr>
          <w:rFonts w:hint="eastAsia"/>
          <w:sz w:val="30"/>
        </w:rPr>
        <w:t>八届二次</w:t>
      </w:r>
      <w:r>
        <w:rPr>
          <w:rFonts w:hint="eastAsia"/>
          <w:sz w:val="30"/>
        </w:rPr>
        <w:t xml:space="preserve">  </w:t>
      </w:r>
      <w:r>
        <w:rPr>
          <w:rFonts w:hint="eastAsia"/>
          <w:sz w:val="30"/>
        </w:rPr>
        <w:t>第</w:t>
      </w:r>
      <w:r>
        <w:rPr>
          <w:rFonts w:hint="eastAsia"/>
          <w:sz w:val="30"/>
        </w:rPr>
        <w:t xml:space="preserve"> </w:t>
      </w:r>
      <w:r w:rsidR="00D13B96">
        <w:rPr>
          <w:rFonts w:hint="eastAsia"/>
          <w:sz w:val="30"/>
        </w:rPr>
        <w:t>91</w:t>
      </w:r>
      <w:r>
        <w:rPr>
          <w:rFonts w:hint="eastAsia"/>
          <w:sz w:val="30"/>
        </w:rPr>
        <w:t xml:space="preserve"> </w:t>
      </w:r>
      <w:r>
        <w:rPr>
          <w:rFonts w:hint="eastAsia"/>
          <w:sz w:val="30"/>
        </w:rPr>
        <w:t>号</w:t>
      </w:r>
    </w:p>
    <w:p w:rsidR="00AC0266" w:rsidRDefault="00AC0266">
      <w:pPr>
        <w:spacing w:line="440" w:lineRule="exact"/>
        <w:rPr>
          <w:sz w:val="30"/>
        </w:rPr>
      </w:pPr>
    </w:p>
    <w:p w:rsidR="00AC0266" w:rsidRDefault="00B108DF">
      <w:pPr>
        <w:jc w:val="center"/>
        <w:rPr>
          <w:rFonts w:eastAsia="华文标宋"/>
          <w:sz w:val="48"/>
          <w:szCs w:val="48"/>
        </w:rPr>
      </w:pPr>
      <w:r>
        <w:rPr>
          <w:rFonts w:eastAsia="华文标宋" w:hint="eastAsia"/>
          <w:sz w:val="48"/>
          <w:szCs w:val="48"/>
        </w:rPr>
        <w:t>政协温州市洞头区委员会提案</w:t>
      </w:r>
    </w:p>
    <w:p w:rsidR="00AC0266" w:rsidRDefault="00AC0266">
      <w:pPr>
        <w:spacing w:line="440" w:lineRule="exact"/>
        <w:rPr>
          <w:sz w:val="3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919"/>
        <w:gridCol w:w="1088"/>
        <w:gridCol w:w="1620"/>
        <w:gridCol w:w="705"/>
        <w:gridCol w:w="519"/>
        <w:gridCol w:w="1349"/>
      </w:tblGrid>
      <w:tr w:rsidR="00AC0266">
        <w:trPr>
          <w:cantSplit/>
          <w:trHeight w:val="730"/>
        </w:trPr>
        <w:tc>
          <w:tcPr>
            <w:tcW w:w="1728" w:type="dxa"/>
            <w:vAlign w:val="center"/>
          </w:tcPr>
          <w:p w:rsidR="00AC0266" w:rsidRDefault="00B108DF">
            <w:pPr>
              <w:spacing w:line="440" w:lineRule="exact"/>
              <w:jc w:val="center"/>
              <w:rPr>
                <w:rFonts w:ascii="宋体" w:hAnsi="宋体"/>
                <w:sz w:val="24"/>
              </w:rPr>
            </w:pPr>
            <w:r>
              <w:rPr>
                <w:rFonts w:ascii="宋体" w:hAnsi="宋体" w:hint="eastAsia"/>
                <w:sz w:val="24"/>
              </w:rPr>
              <w:t>案    由</w:t>
            </w:r>
          </w:p>
        </w:tc>
        <w:tc>
          <w:tcPr>
            <w:tcW w:w="7200" w:type="dxa"/>
            <w:gridSpan w:val="6"/>
            <w:vAlign w:val="center"/>
          </w:tcPr>
          <w:p w:rsidR="00AC0266" w:rsidRDefault="00B108DF" w:rsidP="008E4CCF">
            <w:pPr>
              <w:jc w:val="center"/>
              <w:rPr>
                <w:rFonts w:ascii="黑体" w:eastAsia="黑体"/>
                <w:sz w:val="28"/>
                <w:szCs w:val="28"/>
              </w:rPr>
            </w:pPr>
            <w:r>
              <w:rPr>
                <w:rFonts w:ascii="宋体" w:hAnsi="宋体" w:hint="eastAsia"/>
                <w:b/>
                <w:color w:val="000000"/>
                <w:sz w:val="32"/>
                <w:szCs w:val="32"/>
                <w:shd w:val="clear" w:color="auto" w:fill="FFFFFF"/>
              </w:rPr>
              <w:t>关于加强对电动自行车管理的</w:t>
            </w:r>
            <w:r w:rsidR="008E4CCF">
              <w:rPr>
                <w:rFonts w:ascii="宋体" w:hAnsi="宋体" w:hint="eastAsia"/>
                <w:b/>
                <w:color w:val="000000"/>
                <w:sz w:val="32"/>
                <w:szCs w:val="32"/>
                <w:shd w:val="clear" w:color="auto" w:fill="FFFFFF"/>
              </w:rPr>
              <w:t>提案</w:t>
            </w:r>
          </w:p>
        </w:tc>
      </w:tr>
      <w:tr w:rsidR="00AC0266">
        <w:trPr>
          <w:cantSplit/>
          <w:trHeight w:val="567"/>
        </w:trPr>
        <w:tc>
          <w:tcPr>
            <w:tcW w:w="1728" w:type="dxa"/>
            <w:vAlign w:val="center"/>
          </w:tcPr>
          <w:p w:rsidR="00AC0266" w:rsidRDefault="00B108DF">
            <w:pPr>
              <w:spacing w:line="440" w:lineRule="exact"/>
              <w:jc w:val="center"/>
              <w:rPr>
                <w:rFonts w:ascii="宋体" w:hAnsi="宋体"/>
                <w:sz w:val="24"/>
              </w:rPr>
            </w:pPr>
            <w:r>
              <w:rPr>
                <w:rFonts w:ascii="宋体" w:hAnsi="宋体" w:hint="eastAsia"/>
                <w:sz w:val="24"/>
              </w:rPr>
              <w:t>提 案 人</w:t>
            </w:r>
          </w:p>
        </w:tc>
        <w:tc>
          <w:tcPr>
            <w:tcW w:w="1919" w:type="dxa"/>
            <w:vAlign w:val="center"/>
          </w:tcPr>
          <w:p w:rsidR="00AC0266" w:rsidRDefault="00B108DF">
            <w:pPr>
              <w:spacing w:line="360" w:lineRule="auto"/>
              <w:jc w:val="center"/>
              <w:rPr>
                <w:sz w:val="24"/>
              </w:rPr>
            </w:pPr>
            <w:r>
              <w:rPr>
                <w:rFonts w:hint="eastAsia"/>
                <w:sz w:val="24"/>
              </w:rPr>
              <w:t>郭程亮</w:t>
            </w:r>
          </w:p>
        </w:tc>
        <w:tc>
          <w:tcPr>
            <w:tcW w:w="1088" w:type="dxa"/>
            <w:vAlign w:val="center"/>
          </w:tcPr>
          <w:p w:rsidR="00AC0266" w:rsidRDefault="00B108DF">
            <w:pPr>
              <w:spacing w:line="440" w:lineRule="exact"/>
              <w:jc w:val="center"/>
              <w:rPr>
                <w:rFonts w:ascii="宋体" w:hAnsi="宋体"/>
                <w:sz w:val="24"/>
              </w:rPr>
            </w:pPr>
            <w:r>
              <w:rPr>
                <w:rFonts w:ascii="宋体" w:hAnsi="宋体" w:hint="eastAsia"/>
                <w:sz w:val="24"/>
              </w:rPr>
              <w:t>界 别</w:t>
            </w:r>
          </w:p>
        </w:tc>
        <w:tc>
          <w:tcPr>
            <w:tcW w:w="1620" w:type="dxa"/>
            <w:vAlign w:val="center"/>
          </w:tcPr>
          <w:p w:rsidR="00AC0266" w:rsidRDefault="00B108DF">
            <w:pPr>
              <w:spacing w:line="440" w:lineRule="exact"/>
              <w:jc w:val="center"/>
              <w:rPr>
                <w:rFonts w:ascii="宋体" w:hAnsi="宋体"/>
                <w:sz w:val="24"/>
              </w:rPr>
            </w:pPr>
            <w:r>
              <w:rPr>
                <w:rFonts w:ascii="宋体" w:hAnsi="宋体" w:hint="eastAsia"/>
                <w:sz w:val="24"/>
              </w:rPr>
              <w:t>渔农界</w:t>
            </w:r>
          </w:p>
        </w:tc>
        <w:tc>
          <w:tcPr>
            <w:tcW w:w="1224" w:type="dxa"/>
            <w:gridSpan w:val="2"/>
            <w:vAlign w:val="center"/>
          </w:tcPr>
          <w:p w:rsidR="00AC0266" w:rsidRDefault="00B108DF">
            <w:pPr>
              <w:spacing w:line="440" w:lineRule="exact"/>
              <w:jc w:val="center"/>
              <w:rPr>
                <w:rFonts w:ascii="宋体" w:hAnsi="宋体"/>
                <w:sz w:val="24"/>
              </w:rPr>
            </w:pPr>
            <w:r>
              <w:rPr>
                <w:rFonts w:ascii="宋体" w:hAnsi="宋体" w:hint="eastAsia"/>
                <w:sz w:val="24"/>
              </w:rPr>
              <w:t>联系电话</w:t>
            </w:r>
          </w:p>
        </w:tc>
        <w:tc>
          <w:tcPr>
            <w:tcW w:w="1349" w:type="dxa"/>
            <w:vAlign w:val="center"/>
          </w:tcPr>
          <w:p w:rsidR="00AC0266" w:rsidRDefault="00B108DF">
            <w:pPr>
              <w:spacing w:line="440" w:lineRule="exact"/>
              <w:jc w:val="center"/>
              <w:rPr>
                <w:rFonts w:ascii="宋体" w:hAnsi="宋体"/>
                <w:sz w:val="24"/>
              </w:rPr>
            </w:pPr>
            <w:r>
              <w:rPr>
                <w:rFonts w:ascii="宋体" w:hAnsi="宋体" w:hint="eastAsia"/>
                <w:sz w:val="24"/>
              </w:rPr>
              <w:t>660518</w:t>
            </w:r>
          </w:p>
        </w:tc>
      </w:tr>
      <w:tr w:rsidR="00AC0266">
        <w:trPr>
          <w:cantSplit/>
          <w:trHeight w:val="567"/>
        </w:trPr>
        <w:tc>
          <w:tcPr>
            <w:tcW w:w="1728" w:type="dxa"/>
            <w:vAlign w:val="center"/>
          </w:tcPr>
          <w:p w:rsidR="00AC0266" w:rsidRDefault="00B108DF">
            <w:pPr>
              <w:spacing w:line="440" w:lineRule="exact"/>
              <w:jc w:val="center"/>
              <w:rPr>
                <w:rFonts w:ascii="宋体" w:hAnsi="宋体"/>
                <w:sz w:val="24"/>
              </w:rPr>
            </w:pPr>
            <w:r>
              <w:rPr>
                <w:rFonts w:ascii="宋体" w:hAnsi="宋体" w:hint="eastAsia"/>
                <w:sz w:val="24"/>
              </w:rPr>
              <w:t>通讯地址</w:t>
            </w:r>
          </w:p>
        </w:tc>
        <w:tc>
          <w:tcPr>
            <w:tcW w:w="7200" w:type="dxa"/>
            <w:gridSpan w:val="6"/>
            <w:vAlign w:val="center"/>
          </w:tcPr>
          <w:p w:rsidR="00AC0266" w:rsidRDefault="00B108DF">
            <w:pPr>
              <w:spacing w:line="440" w:lineRule="exact"/>
              <w:jc w:val="center"/>
              <w:rPr>
                <w:rFonts w:ascii="宋体" w:eastAsia="宋体" w:hAnsi="宋体"/>
                <w:sz w:val="24"/>
              </w:rPr>
            </w:pPr>
            <w:r>
              <w:rPr>
                <w:rFonts w:ascii="宋体" w:eastAsia="宋体" w:hAnsi="宋体" w:hint="eastAsia"/>
                <w:sz w:val="24"/>
              </w:rPr>
              <w:t>区政协农业与农村工作委员会</w:t>
            </w:r>
          </w:p>
        </w:tc>
      </w:tr>
      <w:tr w:rsidR="00AC0266">
        <w:trPr>
          <w:cantSplit/>
          <w:trHeight w:val="567"/>
        </w:trPr>
        <w:tc>
          <w:tcPr>
            <w:tcW w:w="1728" w:type="dxa"/>
            <w:vAlign w:val="center"/>
          </w:tcPr>
          <w:p w:rsidR="00AC0266" w:rsidRDefault="00B108DF">
            <w:pPr>
              <w:spacing w:line="440" w:lineRule="exact"/>
              <w:jc w:val="center"/>
              <w:rPr>
                <w:rFonts w:ascii="宋体" w:hAnsi="宋体"/>
                <w:sz w:val="24"/>
              </w:rPr>
            </w:pPr>
            <w:r>
              <w:rPr>
                <w:rFonts w:ascii="宋体" w:hAnsi="宋体" w:hint="eastAsia"/>
                <w:sz w:val="24"/>
              </w:rPr>
              <w:t>建议承办单位</w:t>
            </w:r>
          </w:p>
        </w:tc>
        <w:tc>
          <w:tcPr>
            <w:tcW w:w="7200" w:type="dxa"/>
            <w:gridSpan w:val="6"/>
            <w:vAlign w:val="center"/>
          </w:tcPr>
          <w:p w:rsidR="00AC0266" w:rsidRDefault="00AC0266">
            <w:pPr>
              <w:spacing w:line="440" w:lineRule="exact"/>
              <w:jc w:val="center"/>
              <w:rPr>
                <w:rFonts w:ascii="宋体" w:eastAsia="宋体" w:hAnsi="宋体"/>
                <w:sz w:val="24"/>
              </w:rPr>
            </w:pPr>
          </w:p>
        </w:tc>
      </w:tr>
      <w:tr w:rsidR="00AC0266">
        <w:trPr>
          <w:trHeight w:val="537"/>
        </w:trPr>
        <w:tc>
          <w:tcPr>
            <w:tcW w:w="1728" w:type="dxa"/>
            <w:vAlign w:val="center"/>
          </w:tcPr>
          <w:p w:rsidR="00AC0266" w:rsidRDefault="00B108DF">
            <w:pPr>
              <w:spacing w:line="360" w:lineRule="exact"/>
              <w:ind w:right="128"/>
              <w:jc w:val="center"/>
              <w:rPr>
                <w:rFonts w:ascii="宋体" w:hAnsi="宋体"/>
                <w:sz w:val="24"/>
              </w:rPr>
            </w:pPr>
            <w:r>
              <w:rPr>
                <w:rFonts w:ascii="宋体" w:hAnsi="宋体" w:hint="eastAsia"/>
                <w:sz w:val="24"/>
              </w:rPr>
              <w:t>附议人姓名</w:t>
            </w:r>
          </w:p>
        </w:tc>
        <w:tc>
          <w:tcPr>
            <w:tcW w:w="5332" w:type="dxa"/>
            <w:gridSpan w:val="4"/>
            <w:vAlign w:val="center"/>
          </w:tcPr>
          <w:p w:rsidR="00AC0266" w:rsidRDefault="00B108DF">
            <w:pPr>
              <w:spacing w:line="440" w:lineRule="exact"/>
              <w:jc w:val="center"/>
              <w:rPr>
                <w:rFonts w:ascii="宋体" w:hAnsi="宋体"/>
                <w:sz w:val="24"/>
              </w:rPr>
            </w:pPr>
            <w:r>
              <w:rPr>
                <w:rFonts w:ascii="宋体" w:hAnsi="宋体" w:hint="eastAsia"/>
                <w:sz w:val="24"/>
              </w:rPr>
              <w:t>联     系     地     址</w:t>
            </w:r>
          </w:p>
        </w:tc>
        <w:tc>
          <w:tcPr>
            <w:tcW w:w="1868" w:type="dxa"/>
            <w:gridSpan w:val="2"/>
            <w:vAlign w:val="center"/>
          </w:tcPr>
          <w:p w:rsidR="00AC0266" w:rsidRDefault="00B108DF">
            <w:pPr>
              <w:spacing w:line="440" w:lineRule="exact"/>
              <w:jc w:val="center"/>
              <w:rPr>
                <w:rFonts w:ascii="宋体" w:hAnsi="宋体"/>
                <w:sz w:val="24"/>
              </w:rPr>
            </w:pPr>
            <w:r>
              <w:rPr>
                <w:rFonts w:ascii="宋体" w:hAnsi="宋体" w:hint="eastAsia"/>
                <w:sz w:val="24"/>
              </w:rPr>
              <w:t>联 系 电 话</w:t>
            </w:r>
          </w:p>
        </w:tc>
      </w:tr>
      <w:tr w:rsidR="00AC0266">
        <w:trPr>
          <w:trHeight w:val="567"/>
        </w:trPr>
        <w:tc>
          <w:tcPr>
            <w:tcW w:w="1728" w:type="dxa"/>
            <w:vAlign w:val="center"/>
          </w:tcPr>
          <w:p w:rsidR="00AC0266" w:rsidRDefault="00AC0266">
            <w:pPr>
              <w:spacing w:line="440" w:lineRule="exact"/>
              <w:jc w:val="center"/>
              <w:rPr>
                <w:rFonts w:ascii="宋体" w:hAnsi="宋体"/>
                <w:sz w:val="24"/>
              </w:rPr>
            </w:pPr>
          </w:p>
        </w:tc>
        <w:tc>
          <w:tcPr>
            <w:tcW w:w="5332" w:type="dxa"/>
            <w:gridSpan w:val="4"/>
            <w:vAlign w:val="center"/>
          </w:tcPr>
          <w:p w:rsidR="00AC0266" w:rsidRDefault="00AC0266">
            <w:pPr>
              <w:spacing w:line="440" w:lineRule="exact"/>
              <w:jc w:val="center"/>
              <w:rPr>
                <w:rFonts w:ascii="宋体" w:hAnsi="宋体"/>
                <w:sz w:val="24"/>
              </w:rPr>
            </w:pPr>
          </w:p>
        </w:tc>
        <w:tc>
          <w:tcPr>
            <w:tcW w:w="1868" w:type="dxa"/>
            <w:gridSpan w:val="2"/>
            <w:vAlign w:val="center"/>
          </w:tcPr>
          <w:p w:rsidR="00AC0266" w:rsidRDefault="00AC0266">
            <w:pPr>
              <w:spacing w:line="440" w:lineRule="exact"/>
              <w:jc w:val="center"/>
              <w:rPr>
                <w:rFonts w:ascii="宋体" w:hAnsi="宋体"/>
                <w:sz w:val="24"/>
              </w:rPr>
            </w:pPr>
          </w:p>
        </w:tc>
      </w:tr>
      <w:tr w:rsidR="00AC0266">
        <w:trPr>
          <w:trHeight w:val="567"/>
        </w:trPr>
        <w:tc>
          <w:tcPr>
            <w:tcW w:w="1728" w:type="dxa"/>
            <w:vAlign w:val="center"/>
          </w:tcPr>
          <w:p w:rsidR="00AC0266" w:rsidRDefault="00AC0266">
            <w:pPr>
              <w:spacing w:line="440" w:lineRule="exact"/>
              <w:jc w:val="center"/>
              <w:rPr>
                <w:rFonts w:ascii="宋体" w:hAnsi="宋体"/>
                <w:sz w:val="24"/>
              </w:rPr>
            </w:pPr>
          </w:p>
        </w:tc>
        <w:tc>
          <w:tcPr>
            <w:tcW w:w="5332" w:type="dxa"/>
            <w:gridSpan w:val="4"/>
            <w:vAlign w:val="center"/>
          </w:tcPr>
          <w:p w:rsidR="00AC0266" w:rsidRDefault="00AC0266">
            <w:pPr>
              <w:spacing w:line="440" w:lineRule="exact"/>
              <w:jc w:val="center"/>
              <w:rPr>
                <w:rFonts w:ascii="宋体" w:hAnsi="宋体"/>
                <w:sz w:val="24"/>
              </w:rPr>
            </w:pPr>
          </w:p>
        </w:tc>
        <w:tc>
          <w:tcPr>
            <w:tcW w:w="1868" w:type="dxa"/>
            <w:gridSpan w:val="2"/>
            <w:vAlign w:val="center"/>
          </w:tcPr>
          <w:p w:rsidR="00AC0266" w:rsidRDefault="00AC0266">
            <w:pPr>
              <w:spacing w:line="440" w:lineRule="exact"/>
              <w:jc w:val="center"/>
              <w:rPr>
                <w:rFonts w:ascii="宋体" w:hAnsi="宋体"/>
                <w:sz w:val="24"/>
              </w:rPr>
            </w:pPr>
          </w:p>
        </w:tc>
      </w:tr>
      <w:tr w:rsidR="00AC0266">
        <w:trPr>
          <w:trHeight w:val="567"/>
        </w:trPr>
        <w:tc>
          <w:tcPr>
            <w:tcW w:w="1728" w:type="dxa"/>
            <w:vAlign w:val="center"/>
          </w:tcPr>
          <w:p w:rsidR="00AC0266" w:rsidRDefault="00AC0266">
            <w:pPr>
              <w:spacing w:line="440" w:lineRule="exact"/>
              <w:jc w:val="center"/>
              <w:rPr>
                <w:rFonts w:ascii="宋体" w:hAnsi="宋体"/>
                <w:sz w:val="24"/>
              </w:rPr>
            </w:pPr>
          </w:p>
        </w:tc>
        <w:tc>
          <w:tcPr>
            <w:tcW w:w="5332" w:type="dxa"/>
            <w:gridSpan w:val="4"/>
            <w:vAlign w:val="center"/>
          </w:tcPr>
          <w:p w:rsidR="00AC0266" w:rsidRDefault="00AC0266">
            <w:pPr>
              <w:spacing w:line="440" w:lineRule="exact"/>
              <w:jc w:val="center"/>
              <w:rPr>
                <w:rFonts w:ascii="宋体" w:hAnsi="宋体"/>
                <w:sz w:val="24"/>
              </w:rPr>
            </w:pPr>
          </w:p>
        </w:tc>
        <w:tc>
          <w:tcPr>
            <w:tcW w:w="1868" w:type="dxa"/>
            <w:gridSpan w:val="2"/>
            <w:vAlign w:val="center"/>
          </w:tcPr>
          <w:p w:rsidR="00AC0266" w:rsidRDefault="00AC0266">
            <w:pPr>
              <w:spacing w:line="440" w:lineRule="exact"/>
              <w:jc w:val="center"/>
              <w:rPr>
                <w:rFonts w:ascii="宋体" w:hAnsi="宋体"/>
                <w:sz w:val="24"/>
              </w:rPr>
            </w:pPr>
          </w:p>
        </w:tc>
      </w:tr>
      <w:tr w:rsidR="00AC0266">
        <w:trPr>
          <w:trHeight w:val="567"/>
        </w:trPr>
        <w:tc>
          <w:tcPr>
            <w:tcW w:w="1728" w:type="dxa"/>
            <w:vAlign w:val="center"/>
          </w:tcPr>
          <w:p w:rsidR="00AC0266" w:rsidRDefault="00AC0266">
            <w:pPr>
              <w:spacing w:line="440" w:lineRule="exact"/>
              <w:jc w:val="center"/>
              <w:rPr>
                <w:rFonts w:ascii="宋体" w:hAnsi="宋体"/>
                <w:sz w:val="24"/>
              </w:rPr>
            </w:pPr>
          </w:p>
        </w:tc>
        <w:tc>
          <w:tcPr>
            <w:tcW w:w="5332" w:type="dxa"/>
            <w:gridSpan w:val="4"/>
            <w:vAlign w:val="center"/>
          </w:tcPr>
          <w:p w:rsidR="00AC0266" w:rsidRDefault="00AC0266">
            <w:pPr>
              <w:spacing w:line="440" w:lineRule="exact"/>
              <w:jc w:val="center"/>
              <w:rPr>
                <w:rFonts w:ascii="宋体" w:hAnsi="宋体"/>
                <w:sz w:val="24"/>
              </w:rPr>
            </w:pPr>
          </w:p>
        </w:tc>
        <w:tc>
          <w:tcPr>
            <w:tcW w:w="1868" w:type="dxa"/>
            <w:gridSpan w:val="2"/>
            <w:vAlign w:val="center"/>
          </w:tcPr>
          <w:p w:rsidR="00AC0266" w:rsidRDefault="00AC0266">
            <w:pPr>
              <w:spacing w:line="440" w:lineRule="exact"/>
              <w:jc w:val="center"/>
              <w:rPr>
                <w:rFonts w:ascii="宋体" w:hAnsi="宋体"/>
                <w:sz w:val="24"/>
              </w:rPr>
            </w:pPr>
          </w:p>
        </w:tc>
      </w:tr>
      <w:tr w:rsidR="00AC0266">
        <w:trPr>
          <w:trHeight w:val="567"/>
        </w:trPr>
        <w:tc>
          <w:tcPr>
            <w:tcW w:w="1728" w:type="dxa"/>
            <w:vAlign w:val="center"/>
          </w:tcPr>
          <w:p w:rsidR="00AC0266" w:rsidRDefault="00AC0266">
            <w:pPr>
              <w:spacing w:line="440" w:lineRule="exact"/>
              <w:jc w:val="center"/>
              <w:rPr>
                <w:rFonts w:ascii="宋体" w:hAnsi="宋体"/>
                <w:sz w:val="24"/>
              </w:rPr>
            </w:pPr>
          </w:p>
        </w:tc>
        <w:tc>
          <w:tcPr>
            <w:tcW w:w="5332" w:type="dxa"/>
            <w:gridSpan w:val="4"/>
            <w:vAlign w:val="center"/>
          </w:tcPr>
          <w:p w:rsidR="00AC0266" w:rsidRDefault="00AC0266">
            <w:pPr>
              <w:spacing w:line="440" w:lineRule="exact"/>
              <w:jc w:val="center"/>
              <w:rPr>
                <w:rFonts w:ascii="宋体" w:hAnsi="宋体"/>
                <w:sz w:val="24"/>
              </w:rPr>
            </w:pPr>
          </w:p>
        </w:tc>
        <w:tc>
          <w:tcPr>
            <w:tcW w:w="1868" w:type="dxa"/>
            <w:gridSpan w:val="2"/>
            <w:vAlign w:val="center"/>
          </w:tcPr>
          <w:p w:rsidR="00AC0266" w:rsidRDefault="00AC0266">
            <w:pPr>
              <w:spacing w:line="440" w:lineRule="exact"/>
              <w:jc w:val="center"/>
              <w:rPr>
                <w:rFonts w:ascii="宋体" w:hAnsi="宋体"/>
                <w:sz w:val="24"/>
              </w:rPr>
            </w:pPr>
          </w:p>
        </w:tc>
      </w:tr>
      <w:tr w:rsidR="00AC0266">
        <w:trPr>
          <w:trHeight w:val="567"/>
        </w:trPr>
        <w:tc>
          <w:tcPr>
            <w:tcW w:w="1728" w:type="dxa"/>
            <w:vAlign w:val="center"/>
          </w:tcPr>
          <w:p w:rsidR="00AC0266" w:rsidRDefault="00AC0266">
            <w:pPr>
              <w:spacing w:line="440" w:lineRule="exact"/>
              <w:jc w:val="center"/>
              <w:rPr>
                <w:rFonts w:ascii="宋体" w:hAnsi="宋体"/>
                <w:sz w:val="24"/>
              </w:rPr>
            </w:pPr>
          </w:p>
        </w:tc>
        <w:tc>
          <w:tcPr>
            <w:tcW w:w="5332" w:type="dxa"/>
            <w:gridSpan w:val="4"/>
            <w:vAlign w:val="center"/>
          </w:tcPr>
          <w:p w:rsidR="00AC0266" w:rsidRDefault="00AC0266">
            <w:pPr>
              <w:spacing w:line="440" w:lineRule="exact"/>
              <w:jc w:val="center"/>
              <w:rPr>
                <w:rFonts w:ascii="宋体" w:hAnsi="宋体"/>
                <w:sz w:val="24"/>
              </w:rPr>
            </w:pPr>
          </w:p>
        </w:tc>
        <w:tc>
          <w:tcPr>
            <w:tcW w:w="1868" w:type="dxa"/>
            <w:gridSpan w:val="2"/>
            <w:vAlign w:val="center"/>
          </w:tcPr>
          <w:p w:rsidR="00AC0266" w:rsidRDefault="00AC0266">
            <w:pPr>
              <w:spacing w:line="440" w:lineRule="exact"/>
              <w:jc w:val="center"/>
              <w:rPr>
                <w:rFonts w:ascii="宋体" w:hAnsi="宋体"/>
                <w:sz w:val="24"/>
              </w:rPr>
            </w:pPr>
          </w:p>
        </w:tc>
      </w:tr>
      <w:tr w:rsidR="00AC0266">
        <w:trPr>
          <w:trHeight w:val="567"/>
        </w:trPr>
        <w:tc>
          <w:tcPr>
            <w:tcW w:w="1728" w:type="dxa"/>
            <w:vAlign w:val="center"/>
          </w:tcPr>
          <w:p w:rsidR="00AC0266" w:rsidRDefault="00AC0266">
            <w:pPr>
              <w:spacing w:line="440" w:lineRule="exact"/>
              <w:jc w:val="center"/>
              <w:rPr>
                <w:rFonts w:ascii="宋体" w:hAnsi="宋体"/>
                <w:sz w:val="24"/>
              </w:rPr>
            </w:pPr>
          </w:p>
        </w:tc>
        <w:tc>
          <w:tcPr>
            <w:tcW w:w="5332" w:type="dxa"/>
            <w:gridSpan w:val="4"/>
            <w:vAlign w:val="center"/>
          </w:tcPr>
          <w:p w:rsidR="00AC0266" w:rsidRDefault="00AC0266">
            <w:pPr>
              <w:spacing w:line="440" w:lineRule="exact"/>
              <w:jc w:val="center"/>
              <w:rPr>
                <w:rFonts w:ascii="宋体" w:hAnsi="宋体"/>
                <w:sz w:val="24"/>
              </w:rPr>
            </w:pPr>
          </w:p>
        </w:tc>
        <w:tc>
          <w:tcPr>
            <w:tcW w:w="1868" w:type="dxa"/>
            <w:gridSpan w:val="2"/>
            <w:vAlign w:val="center"/>
          </w:tcPr>
          <w:p w:rsidR="00AC0266" w:rsidRDefault="00AC0266">
            <w:pPr>
              <w:spacing w:line="440" w:lineRule="exact"/>
              <w:jc w:val="center"/>
              <w:rPr>
                <w:rFonts w:ascii="宋体" w:hAnsi="宋体"/>
                <w:sz w:val="24"/>
              </w:rPr>
            </w:pPr>
          </w:p>
        </w:tc>
      </w:tr>
    </w:tbl>
    <w:p w:rsidR="00AC0266" w:rsidRDefault="00AC0266">
      <w:pPr>
        <w:spacing w:line="440" w:lineRule="exact"/>
        <w:rPr>
          <w:sz w:val="30"/>
        </w:rPr>
      </w:pPr>
    </w:p>
    <w:p w:rsidR="00AC0266" w:rsidRDefault="00B108DF">
      <w:pPr>
        <w:spacing w:line="440" w:lineRule="exact"/>
        <w:rPr>
          <w:sz w:val="30"/>
        </w:rPr>
      </w:pPr>
      <w:r>
        <w:rPr>
          <w:rFonts w:hint="eastAsia"/>
          <w:sz w:val="30"/>
        </w:rPr>
        <w:t>提案审查意见（以下由提案审查机构填写）：</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260"/>
        <w:gridCol w:w="7200"/>
      </w:tblGrid>
      <w:tr w:rsidR="00AC0266">
        <w:trPr>
          <w:cantSplit/>
        </w:trPr>
        <w:tc>
          <w:tcPr>
            <w:tcW w:w="468" w:type="dxa"/>
            <w:vMerge w:val="restart"/>
            <w:vAlign w:val="center"/>
          </w:tcPr>
          <w:p w:rsidR="00AC0266" w:rsidRDefault="00B108DF">
            <w:pPr>
              <w:spacing w:line="400" w:lineRule="exact"/>
              <w:jc w:val="center"/>
              <w:rPr>
                <w:sz w:val="24"/>
              </w:rPr>
            </w:pPr>
            <w:r>
              <w:rPr>
                <w:rFonts w:hint="eastAsia"/>
                <w:sz w:val="24"/>
              </w:rPr>
              <w:t>初</w:t>
            </w:r>
          </w:p>
          <w:p w:rsidR="00AC0266" w:rsidRDefault="00B108DF">
            <w:pPr>
              <w:spacing w:line="400" w:lineRule="exact"/>
              <w:jc w:val="center"/>
              <w:rPr>
                <w:sz w:val="24"/>
              </w:rPr>
            </w:pPr>
            <w:r>
              <w:rPr>
                <w:rFonts w:hint="eastAsia"/>
                <w:sz w:val="24"/>
              </w:rPr>
              <w:t>审</w:t>
            </w:r>
          </w:p>
          <w:p w:rsidR="00AC0266" w:rsidRDefault="00B108DF">
            <w:pPr>
              <w:spacing w:line="400" w:lineRule="exact"/>
              <w:jc w:val="center"/>
              <w:rPr>
                <w:sz w:val="24"/>
              </w:rPr>
            </w:pPr>
            <w:r>
              <w:rPr>
                <w:rFonts w:hint="eastAsia"/>
                <w:sz w:val="24"/>
              </w:rPr>
              <w:t>意</w:t>
            </w:r>
          </w:p>
          <w:p w:rsidR="00AC0266" w:rsidRDefault="00B108DF">
            <w:pPr>
              <w:spacing w:line="400" w:lineRule="exact"/>
              <w:jc w:val="center"/>
              <w:rPr>
                <w:sz w:val="24"/>
              </w:rPr>
            </w:pPr>
            <w:r>
              <w:rPr>
                <w:rFonts w:hint="eastAsia"/>
                <w:sz w:val="24"/>
              </w:rPr>
              <w:t>见</w:t>
            </w:r>
          </w:p>
        </w:tc>
        <w:tc>
          <w:tcPr>
            <w:tcW w:w="1260" w:type="dxa"/>
            <w:vAlign w:val="center"/>
          </w:tcPr>
          <w:p w:rsidR="00AC0266" w:rsidRDefault="00B108DF">
            <w:pPr>
              <w:spacing w:line="440" w:lineRule="exact"/>
              <w:jc w:val="center"/>
              <w:rPr>
                <w:sz w:val="24"/>
              </w:rPr>
            </w:pPr>
            <w:r>
              <w:rPr>
                <w:rFonts w:hint="eastAsia"/>
                <w:sz w:val="24"/>
              </w:rPr>
              <w:t>立案情况</w:t>
            </w:r>
          </w:p>
        </w:tc>
        <w:tc>
          <w:tcPr>
            <w:tcW w:w="7200" w:type="dxa"/>
          </w:tcPr>
          <w:p w:rsidR="00AC0266" w:rsidRDefault="00D13B96">
            <w:pPr>
              <w:spacing w:line="440" w:lineRule="exact"/>
              <w:rPr>
                <w:sz w:val="24"/>
              </w:rPr>
            </w:pPr>
            <w:r>
              <w:rPr>
                <w:rFonts w:ascii="MS Mincho" w:eastAsia="MS Mincho" w:hAnsi="MS Mincho" w:cs="MS Mincho" w:hint="eastAsia"/>
                <w:sz w:val="24"/>
              </w:rPr>
              <w:t>☑</w:t>
            </w:r>
            <w:r w:rsidR="00B108DF">
              <w:rPr>
                <w:rFonts w:ascii="宋体" w:hAnsi="宋体" w:hint="eastAsia"/>
                <w:sz w:val="24"/>
              </w:rPr>
              <w:t>立案      □不予立案</w:t>
            </w:r>
          </w:p>
        </w:tc>
      </w:tr>
      <w:tr w:rsidR="00AC0266">
        <w:trPr>
          <w:cantSplit/>
        </w:trPr>
        <w:tc>
          <w:tcPr>
            <w:tcW w:w="468" w:type="dxa"/>
            <w:vMerge/>
            <w:vAlign w:val="center"/>
          </w:tcPr>
          <w:p w:rsidR="00AC0266" w:rsidRDefault="00AC0266">
            <w:pPr>
              <w:spacing w:line="440" w:lineRule="exact"/>
              <w:jc w:val="center"/>
              <w:rPr>
                <w:sz w:val="24"/>
              </w:rPr>
            </w:pPr>
          </w:p>
        </w:tc>
        <w:tc>
          <w:tcPr>
            <w:tcW w:w="1260" w:type="dxa"/>
            <w:vAlign w:val="center"/>
          </w:tcPr>
          <w:p w:rsidR="00AC0266" w:rsidRDefault="00B108DF">
            <w:pPr>
              <w:spacing w:line="440" w:lineRule="exact"/>
              <w:jc w:val="center"/>
              <w:rPr>
                <w:sz w:val="24"/>
              </w:rPr>
            </w:pPr>
            <w:r>
              <w:rPr>
                <w:rFonts w:hint="eastAsia"/>
                <w:sz w:val="24"/>
              </w:rPr>
              <w:t>类</w:t>
            </w:r>
            <w:r>
              <w:rPr>
                <w:rFonts w:hint="eastAsia"/>
                <w:sz w:val="24"/>
              </w:rPr>
              <w:t xml:space="preserve">    </w:t>
            </w:r>
            <w:r>
              <w:rPr>
                <w:rFonts w:hint="eastAsia"/>
                <w:sz w:val="24"/>
              </w:rPr>
              <w:t>别</w:t>
            </w:r>
          </w:p>
        </w:tc>
        <w:tc>
          <w:tcPr>
            <w:tcW w:w="7200" w:type="dxa"/>
            <w:vAlign w:val="center"/>
          </w:tcPr>
          <w:p w:rsidR="00AC0266" w:rsidRDefault="00B108DF">
            <w:pPr>
              <w:spacing w:line="500" w:lineRule="exact"/>
              <w:rPr>
                <w:sz w:val="24"/>
              </w:rPr>
            </w:pPr>
            <w:r>
              <w:rPr>
                <w:rFonts w:ascii="宋体" w:hAnsi="宋体" w:hint="eastAsia"/>
                <w:sz w:val="24"/>
              </w:rPr>
              <w:t xml:space="preserve">□政治建设  □经济建设  </w:t>
            </w:r>
            <w:r>
              <w:rPr>
                <w:rFonts w:ascii="宋体" w:hAnsi="宋体" w:hint="eastAsia"/>
                <w:spacing w:val="-4"/>
                <w:sz w:val="24"/>
              </w:rPr>
              <w:t>□</w:t>
            </w:r>
            <w:r>
              <w:rPr>
                <w:rFonts w:ascii="宋体" w:hAnsi="宋体" w:hint="eastAsia"/>
                <w:sz w:val="24"/>
              </w:rPr>
              <w:t xml:space="preserve">文化建设  </w:t>
            </w:r>
            <w:r w:rsidR="00D13B96">
              <w:rPr>
                <w:rFonts w:ascii="MS Mincho" w:eastAsia="MS Mincho" w:hAnsi="MS Mincho" w:cs="MS Mincho" w:hint="eastAsia"/>
                <w:sz w:val="24"/>
              </w:rPr>
              <w:t>☑</w:t>
            </w:r>
            <w:r>
              <w:rPr>
                <w:rFonts w:ascii="宋体" w:hAnsi="宋体" w:hint="eastAsia"/>
                <w:sz w:val="24"/>
              </w:rPr>
              <w:t xml:space="preserve">社会建设  </w:t>
            </w:r>
          </w:p>
          <w:p w:rsidR="00AC0266" w:rsidRDefault="00B108DF" w:rsidP="00D13B96">
            <w:pPr>
              <w:spacing w:line="500" w:lineRule="exact"/>
              <w:ind w:firstLineChars="300" w:firstLine="720"/>
              <w:rPr>
                <w:sz w:val="24"/>
              </w:rPr>
            </w:pPr>
            <w:r>
              <w:rPr>
                <w:rFonts w:ascii="宋体" w:hAnsi="宋体" w:hint="eastAsia"/>
                <w:sz w:val="24"/>
              </w:rPr>
              <w:t>□生态建设    □人民生活    □综合</w:t>
            </w:r>
          </w:p>
        </w:tc>
      </w:tr>
      <w:tr w:rsidR="00AC0266">
        <w:trPr>
          <w:cantSplit/>
        </w:trPr>
        <w:tc>
          <w:tcPr>
            <w:tcW w:w="1728" w:type="dxa"/>
            <w:gridSpan w:val="2"/>
            <w:vAlign w:val="center"/>
          </w:tcPr>
          <w:p w:rsidR="00AC0266" w:rsidRDefault="00B108DF">
            <w:pPr>
              <w:spacing w:line="440" w:lineRule="exact"/>
              <w:jc w:val="center"/>
              <w:rPr>
                <w:sz w:val="24"/>
              </w:rPr>
            </w:pPr>
            <w:r>
              <w:rPr>
                <w:rFonts w:hint="eastAsia"/>
                <w:sz w:val="24"/>
              </w:rPr>
              <w:t>审</w:t>
            </w:r>
            <w:r>
              <w:rPr>
                <w:rFonts w:hint="eastAsia"/>
                <w:sz w:val="24"/>
              </w:rPr>
              <w:t xml:space="preserve"> </w:t>
            </w:r>
            <w:r>
              <w:rPr>
                <w:rFonts w:hint="eastAsia"/>
                <w:sz w:val="24"/>
              </w:rPr>
              <w:t>批</w:t>
            </w:r>
            <w:r>
              <w:rPr>
                <w:rFonts w:hint="eastAsia"/>
                <w:sz w:val="24"/>
              </w:rPr>
              <w:t xml:space="preserve"> </w:t>
            </w:r>
            <w:r>
              <w:rPr>
                <w:rFonts w:hint="eastAsia"/>
                <w:sz w:val="24"/>
              </w:rPr>
              <w:t>意</w:t>
            </w:r>
            <w:r>
              <w:rPr>
                <w:rFonts w:hint="eastAsia"/>
                <w:sz w:val="24"/>
              </w:rPr>
              <w:t xml:space="preserve"> </w:t>
            </w:r>
            <w:r>
              <w:rPr>
                <w:rFonts w:hint="eastAsia"/>
                <w:sz w:val="24"/>
              </w:rPr>
              <w:t>见</w:t>
            </w:r>
          </w:p>
        </w:tc>
        <w:tc>
          <w:tcPr>
            <w:tcW w:w="7200" w:type="dxa"/>
          </w:tcPr>
          <w:p w:rsidR="00AC0266" w:rsidRDefault="00AC0266">
            <w:pPr>
              <w:spacing w:line="440" w:lineRule="exact"/>
              <w:rPr>
                <w:sz w:val="24"/>
              </w:rPr>
            </w:pPr>
          </w:p>
          <w:p w:rsidR="00AC0266" w:rsidRDefault="00AC0266">
            <w:pPr>
              <w:spacing w:line="440" w:lineRule="exact"/>
              <w:rPr>
                <w:sz w:val="24"/>
              </w:rPr>
            </w:pPr>
          </w:p>
        </w:tc>
      </w:tr>
    </w:tbl>
    <w:p w:rsidR="00AC0266" w:rsidRDefault="00B108DF">
      <w:pPr>
        <w:widowControl/>
        <w:spacing w:line="360" w:lineRule="exact"/>
        <w:ind w:firstLineChars="200" w:firstLine="422"/>
        <w:rPr>
          <w:rFonts w:ascii="楷体" w:eastAsia="楷体" w:hAnsi="楷体" w:cs="宋体"/>
          <w:kern w:val="0"/>
          <w:szCs w:val="21"/>
        </w:rPr>
      </w:pPr>
      <w:r>
        <w:rPr>
          <w:rFonts w:ascii="楷体" w:eastAsia="楷体" w:hAnsi="楷体" w:cs="宋体" w:hint="eastAsia"/>
          <w:b/>
          <w:kern w:val="0"/>
          <w:szCs w:val="21"/>
        </w:rPr>
        <w:t>备注</w:t>
      </w:r>
      <w:r>
        <w:rPr>
          <w:rFonts w:ascii="楷体" w:eastAsia="楷体" w:hAnsi="楷体" w:cs="宋体"/>
          <w:b/>
          <w:kern w:val="0"/>
          <w:szCs w:val="21"/>
        </w:rPr>
        <w:t>：</w:t>
      </w:r>
      <w:r>
        <w:rPr>
          <w:rFonts w:ascii="楷体" w:eastAsia="楷体" w:hAnsi="楷体" w:cs="宋体" w:hint="eastAsia"/>
          <w:kern w:val="0"/>
          <w:szCs w:val="21"/>
        </w:rPr>
        <w:t>请</w:t>
      </w:r>
      <w:r>
        <w:rPr>
          <w:rFonts w:ascii="楷体" w:eastAsia="楷体" w:hAnsi="楷体" w:cs="宋体"/>
          <w:kern w:val="0"/>
          <w:szCs w:val="21"/>
        </w:rPr>
        <w:t>通过洞头区政府门户网站</w:t>
      </w:r>
      <w:r>
        <w:rPr>
          <w:rFonts w:ascii="楷体" w:eastAsia="楷体" w:hAnsi="楷体" w:cs="宋体" w:hint="eastAsia"/>
          <w:kern w:val="0"/>
          <w:szCs w:val="21"/>
        </w:rPr>
        <w:t>（</w:t>
      </w:r>
      <w:r>
        <w:rPr>
          <w:rFonts w:ascii="楷体" w:eastAsia="楷体" w:hAnsi="楷体" w:cs="宋体"/>
          <w:kern w:val="0"/>
          <w:szCs w:val="21"/>
        </w:rPr>
        <w:t>http://www.dongtou.gov.cn/</w:t>
      </w:r>
      <w:r>
        <w:rPr>
          <w:rFonts w:ascii="楷体" w:eastAsia="楷体" w:hAnsi="楷体" w:cs="宋体" w:hint="eastAsia"/>
          <w:kern w:val="0"/>
          <w:szCs w:val="21"/>
        </w:rPr>
        <w:t>）</w:t>
      </w:r>
      <w:r>
        <w:rPr>
          <w:rFonts w:ascii="楷体" w:eastAsia="楷体" w:hAnsi="楷体" w:cs="宋体"/>
          <w:kern w:val="0"/>
          <w:szCs w:val="21"/>
        </w:rPr>
        <w:t>“建议提案”</w:t>
      </w:r>
      <w:r>
        <w:rPr>
          <w:rFonts w:ascii="楷体" w:eastAsia="楷体" w:hAnsi="楷体" w:cs="宋体" w:hint="eastAsia"/>
          <w:kern w:val="0"/>
          <w:szCs w:val="21"/>
        </w:rPr>
        <w:t>和</w:t>
      </w:r>
      <w:r>
        <w:rPr>
          <w:rFonts w:ascii="楷体" w:eastAsia="楷体" w:hAnsi="楷体" w:cs="宋体"/>
          <w:kern w:val="0"/>
          <w:szCs w:val="21"/>
        </w:rPr>
        <w:t>洞头政协网站</w:t>
      </w:r>
      <w:r>
        <w:rPr>
          <w:rFonts w:ascii="楷体" w:eastAsia="楷体" w:hAnsi="楷体" w:cs="宋体" w:hint="eastAsia"/>
          <w:kern w:val="0"/>
          <w:szCs w:val="21"/>
        </w:rPr>
        <w:t>（</w:t>
      </w:r>
      <w:r>
        <w:rPr>
          <w:rFonts w:ascii="楷体" w:eastAsia="楷体" w:hAnsi="楷体" w:cs="宋体"/>
          <w:kern w:val="0"/>
          <w:szCs w:val="21"/>
        </w:rPr>
        <w:t>http://zxb.dongtou.gov.cn/</w:t>
      </w:r>
      <w:r>
        <w:rPr>
          <w:rFonts w:ascii="楷体" w:eastAsia="楷体" w:hAnsi="楷体" w:cs="宋体" w:hint="eastAsia"/>
          <w:kern w:val="0"/>
          <w:szCs w:val="21"/>
        </w:rPr>
        <w:t>）</w:t>
      </w:r>
      <w:r>
        <w:rPr>
          <w:rFonts w:ascii="楷体" w:eastAsia="楷体" w:hAnsi="楷体" w:cs="宋体"/>
          <w:kern w:val="0"/>
          <w:szCs w:val="21"/>
        </w:rPr>
        <w:t>“提案管理系统”提交电子文档提案。</w:t>
      </w:r>
    </w:p>
    <w:p w:rsidR="00AC0266" w:rsidRDefault="00AC0266">
      <w:pPr>
        <w:widowControl/>
        <w:spacing w:line="495" w:lineRule="atLeast"/>
        <w:ind w:firstLine="555"/>
        <w:jc w:val="center"/>
        <w:rPr>
          <w:rFonts w:ascii="仿宋" w:eastAsia="仿宋" w:hAnsi="仿宋"/>
          <w:b/>
          <w:bCs/>
          <w:sz w:val="36"/>
          <w:szCs w:val="36"/>
        </w:rPr>
      </w:pPr>
    </w:p>
    <w:p w:rsidR="00AC0266" w:rsidRDefault="00B108DF">
      <w:pPr>
        <w:widowControl/>
        <w:spacing w:line="495" w:lineRule="atLeast"/>
        <w:ind w:firstLine="555"/>
        <w:jc w:val="center"/>
        <w:rPr>
          <w:rFonts w:ascii="仿宋" w:eastAsia="仿宋" w:hAnsi="仿宋" w:cs="宋体"/>
          <w:kern w:val="0"/>
          <w:szCs w:val="21"/>
        </w:rPr>
      </w:pPr>
      <w:r>
        <w:rPr>
          <w:rFonts w:ascii="仿宋" w:eastAsia="仿宋" w:hAnsi="仿宋" w:hint="eastAsia"/>
          <w:b/>
          <w:bCs/>
          <w:sz w:val="36"/>
          <w:szCs w:val="36"/>
        </w:rPr>
        <w:lastRenderedPageBreak/>
        <w:t>关于加强对电动自行车管理的</w:t>
      </w:r>
      <w:r w:rsidR="008E4CCF">
        <w:rPr>
          <w:rFonts w:ascii="仿宋" w:eastAsia="仿宋" w:hAnsi="仿宋" w:hint="eastAsia"/>
          <w:b/>
          <w:bCs/>
          <w:sz w:val="36"/>
          <w:szCs w:val="36"/>
        </w:rPr>
        <w:t>提案</w:t>
      </w:r>
    </w:p>
    <w:p w:rsidR="00AC0266" w:rsidRDefault="00AC0266">
      <w:pPr>
        <w:widowControl/>
        <w:spacing w:line="495" w:lineRule="atLeast"/>
        <w:ind w:firstLine="555"/>
        <w:jc w:val="center"/>
        <w:rPr>
          <w:rFonts w:ascii="仿宋" w:eastAsia="仿宋" w:hAnsi="仿宋" w:cs="宋体"/>
          <w:kern w:val="0"/>
          <w:szCs w:val="21"/>
        </w:rPr>
      </w:pPr>
    </w:p>
    <w:p w:rsidR="00AC0266" w:rsidRDefault="00B108DF">
      <w:pPr>
        <w:widowControl/>
        <w:spacing w:line="572"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近年来，随着洞头城市建设的快速发展，交通环境也日趋复杂。伴随着经济社会的飞速发展，节能环保、实用快捷的电动车进入千家万户。电动车做为交通工具给人们带来便利的同时也给交通秩序和交通管理工作带来了很大的负面影响，主要存在以下几方面突出问题：</w:t>
      </w:r>
    </w:p>
    <w:p w:rsidR="00AC0266" w:rsidRDefault="00B108DF">
      <w:pPr>
        <w:widowControl/>
        <w:spacing w:line="572"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w:t>
      </w:r>
      <w:r>
        <w:rPr>
          <w:rFonts w:ascii="仿宋_GB2312" w:eastAsia="仿宋_GB2312" w:hAnsi="仿宋_GB2312" w:cs="仿宋_GB2312" w:hint="eastAsia"/>
          <w:b/>
          <w:kern w:val="0"/>
          <w:sz w:val="32"/>
          <w:szCs w:val="32"/>
        </w:rPr>
        <w:t>一是超标电动车普遍存在。</w:t>
      </w:r>
      <w:r>
        <w:rPr>
          <w:rFonts w:ascii="仿宋_GB2312" w:eastAsia="仿宋_GB2312" w:hAnsi="仿宋_GB2312" w:cs="仿宋_GB2312" w:hint="eastAsia"/>
          <w:kern w:val="0"/>
          <w:sz w:val="32"/>
          <w:szCs w:val="32"/>
        </w:rPr>
        <w:t>根据四部委最新公布的《电动自行车安全技术规范》国家标准的规定，整车质量由原来的40千克调整为55千克，时速由原来的20公里/小时调整为25公里/小时。但实际上全国的电动车生产处于一种无序状态，在各地方政府的默许下，各电动车生产企业为了抢占市场，生产各种各样的超标电动车，导致大量超标电动车无法取得电动车牌照，在生产、销售等源头上就无法建立起有效的电动车管理系统，增强了电动车管理的难度。</w:t>
      </w:r>
    </w:p>
    <w:p w:rsidR="00AC0266" w:rsidRDefault="00B108DF">
      <w:pPr>
        <w:widowControl/>
        <w:spacing w:line="572"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w:t>
      </w:r>
      <w:r>
        <w:rPr>
          <w:rFonts w:ascii="仿宋_GB2312" w:eastAsia="仿宋_GB2312" w:hAnsi="仿宋_GB2312" w:cs="仿宋_GB2312" w:hint="eastAsia"/>
          <w:b/>
          <w:kern w:val="0"/>
          <w:sz w:val="32"/>
          <w:szCs w:val="32"/>
        </w:rPr>
        <w:t>二是电动车违法行为突出。</w:t>
      </w:r>
      <w:r>
        <w:rPr>
          <w:rFonts w:ascii="仿宋_GB2312" w:eastAsia="仿宋_GB2312" w:hAnsi="仿宋_GB2312" w:cs="仿宋_GB2312" w:hint="eastAsia"/>
          <w:kern w:val="0"/>
          <w:sz w:val="32"/>
          <w:szCs w:val="32"/>
        </w:rPr>
        <w:t>电动车的驾驶人涵盖了社会各个层面的人群，下至十几岁的青少年，上至七、八十岁的老人，部分电动车（非机动车）驾驶人根本不了解最基本的交通常识，更谈不上遵守交通法规。</w:t>
      </w:r>
    </w:p>
    <w:p w:rsidR="00AC0266" w:rsidRDefault="00B108DF">
      <w:pPr>
        <w:widowControl/>
        <w:spacing w:line="572" w:lineRule="exac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三是电动车违规处罚难度大。</w:t>
      </w:r>
      <w:r>
        <w:rPr>
          <w:rFonts w:ascii="仿宋_GB2312" w:eastAsia="仿宋_GB2312" w:hAnsi="仿宋_GB2312" w:cs="仿宋_GB2312" w:hint="eastAsia"/>
          <w:kern w:val="0"/>
          <w:sz w:val="32"/>
          <w:szCs w:val="32"/>
        </w:rPr>
        <w:t>电动车驾驶人在社会上属于弱势群体，在交通违法查纠过程中，罚款数额较低，起不到教育作用，特别是部分无理取闹的人员，对执法民警百般刁难，现行管理政策又要求民警要规范执法，让人民满意，造成部分民警执法中存在畏难情绪。</w:t>
      </w:r>
    </w:p>
    <w:p w:rsidR="00AC0266" w:rsidRDefault="00B108DF">
      <w:pPr>
        <w:widowControl/>
        <w:spacing w:line="572" w:lineRule="exact"/>
        <w:ind w:firstLineChars="200" w:firstLine="643"/>
        <w:jc w:val="left"/>
        <w:rPr>
          <w:rFonts w:ascii="仿宋_GB2312" w:eastAsia="仿宋_GB2312" w:hAnsi="仿宋_GB2312" w:cs="仿宋_GB2312"/>
          <w:kern w:val="0"/>
          <w:sz w:val="32"/>
          <w:szCs w:val="32"/>
        </w:rPr>
      </w:pPr>
      <w:bookmarkStart w:id="0" w:name="_GoBack"/>
      <w:bookmarkEnd w:id="0"/>
      <w:r>
        <w:rPr>
          <w:rFonts w:ascii="仿宋_GB2312" w:eastAsia="仿宋_GB2312" w:hAnsi="仿宋_GB2312" w:cs="仿宋_GB2312" w:hint="eastAsia"/>
          <w:b/>
          <w:kern w:val="0"/>
          <w:sz w:val="32"/>
          <w:szCs w:val="32"/>
        </w:rPr>
        <w:lastRenderedPageBreak/>
        <w:t> 四是事故理赔困难。</w:t>
      </w:r>
      <w:r>
        <w:rPr>
          <w:rFonts w:ascii="仿宋_GB2312" w:eastAsia="仿宋_GB2312" w:hAnsi="仿宋_GB2312" w:cs="仿宋_GB2312" w:hint="eastAsia"/>
          <w:kern w:val="0"/>
          <w:sz w:val="32"/>
          <w:szCs w:val="32"/>
        </w:rPr>
        <w:t>据不完全统计，2017年我区电动车事故约占事故总量的30%左右,而且由于现在的电动车无法上牌保险，发生事故后理赔难度非常大，也给事故当事人带来很大的经济压力。</w:t>
      </w:r>
      <w:r>
        <w:rPr>
          <w:rFonts w:ascii="仿宋_GB2312" w:eastAsia="仿宋_GB2312" w:hAnsi="仿宋_GB2312" w:cs="仿宋_GB2312" w:hint="eastAsia"/>
          <w:kern w:val="0"/>
          <w:sz w:val="32"/>
          <w:szCs w:val="32"/>
        </w:rPr>
        <w:br/>
        <w:t xml:space="preserve">    如何加强对电动自行车的管理，进一步改善交通秩序，提高交通管理水平，已成为我区道路交通面临的一个重要难题。      </w:t>
      </w:r>
    </w:p>
    <w:p w:rsidR="00AC0266" w:rsidRDefault="00B108DF">
      <w:pPr>
        <w:widowControl/>
        <w:spacing w:line="572"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为规范电动自行车销售和使用管理，保障行驶安全，特提出以下建议：</w:t>
      </w:r>
    </w:p>
    <w:p w:rsidR="00AC0266" w:rsidRDefault="00B108DF">
      <w:pPr>
        <w:widowControl/>
        <w:spacing w:line="572" w:lineRule="exac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1、狠抓源头管理。</w:t>
      </w:r>
      <w:r>
        <w:rPr>
          <w:rFonts w:ascii="仿宋_GB2312" w:eastAsia="仿宋_GB2312" w:hAnsi="仿宋_GB2312" w:cs="仿宋_GB2312" w:hint="eastAsia"/>
          <w:kern w:val="0"/>
          <w:sz w:val="32"/>
          <w:szCs w:val="32"/>
        </w:rPr>
        <w:t>相关部门应该加强对电瓶车生产和销售环节的联合监管，坚决禁止不符合标准的电动车生产甚至在市场销售，对销售不符合法律、法规和国家标准等规定要求电动自行车的，按照《产品质量法》等法律法规的规定责令停止销售，并处以罚款或者没收违法所得，情节严重的依法吊销企业营业执照。</w:t>
      </w:r>
    </w:p>
    <w:p w:rsidR="00AC0266" w:rsidRDefault="00B108DF">
      <w:pPr>
        <w:widowControl/>
        <w:spacing w:line="572" w:lineRule="exac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2、加大交通规则的宣传教育。</w:t>
      </w:r>
      <w:r>
        <w:rPr>
          <w:rFonts w:ascii="仿宋_GB2312" w:eastAsia="仿宋_GB2312" w:hAnsi="仿宋_GB2312" w:cs="仿宋_GB2312" w:hint="eastAsia"/>
          <w:kern w:val="0"/>
          <w:sz w:val="32"/>
          <w:szCs w:val="32"/>
        </w:rPr>
        <w:t>进一步深化“文明交通”常态劝导机制，开展电动车的文明交通劝导。同时设立曝光台，加大对电动车违法典型案例的曝光力度。要充分利用报纸、电视、网络等新闻媒体，向广大居民宣传电动自行车应注意的交通规则和注意事项，使电动自行车驾驶人提高交通安全意识，自觉遵守法纪，消除安全隐患，达到预防和减少交通事故的发生。</w:t>
      </w:r>
    </w:p>
    <w:p w:rsidR="00AC0266" w:rsidRDefault="00B108DF">
      <w:pPr>
        <w:widowControl/>
        <w:spacing w:line="572" w:lineRule="exac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3、加强对电动自行车驾驶人员的培训。</w:t>
      </w:r>
      <w:r>
        <w:rPr>
          <w:rFonts w:ascii="仿宋_GB2312" w:eastAsia="仿宋_GB2312" w:hAnsi="仿宋_GB2312" w:cs="仿宋_GB2312" w:hint="eastAsia"/>
          <w:kern w:val="0"/>
          <w:sz w:val="32"/>
          <w:szCs w:val="32"/>
        </w:rPr>
        <w:t>对电动自行车驾驶人员至少进行半天的短期培训，以便让他们了解电动自</w:t>
      </w:r>
      <w:r>
        <w:rPr>
          <w:rFonts w:ascii="仿宋_GB2312" w:eastAsia="仿宋_GB2312" w:hAnsi="仿宋_GB2312" w:cs="仿宋_GB2312" w:hint="eastAsia"/>
          <w:kern w:val="0"/>
          <w:sz w:val="32"/>
          <w:szCs w:val="32"/>
        </w:rPr>
        <w:lastRenderedPageBreak/>
        <w:t>行车方面的法规、管理办法及处罚措施，熟悉电动自行车的性能及交通规则。</w:t>
      </w:r>
    </w:p>
    <w:p w:rsidR="00AC0266" w:rsidRDefault="00B108DF">
      <w:pPr>
        <w:widowControl/>
        <w:spacing w:line="572" w:lineRule="exac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4、应当加强针对电动车的上路管理。</w:t>
      </w:r>
      <w:r>
        <w:rPr>
          <w:rFonts w:ascii="仿宋_GB2312" w:eastAsia="仿宋_GB2312" w:hAnsi="仿宋_GB2312" w:cs="仿宋_GB2312" w:hint="eastAsia"/>
          <w:kern w:val="0"/>
          <w:sz w:val="32"/>
          <w:szCs w:val="32"/>
        </w:rPr>
        <w:t>严厉查处电动自行车占用机动车道行驶、超速行驶、逆向行驶、闯红灯、违法载人等交通违法行为。对电动自行车负重物，超宽、超大、超高的要重罚。</w:t>
      </w:r>
    </w:p>
    <w:p w:rsidR="00AC0266" w:rsidRDefault="00B108DF">
      <w:pPr>
        <w:widowControl/>
        <w:spacing w:line="572" w:lineRule="exac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5、尽快制定或完善电动自行车管理办法。</w:t>
      </w:r>
      <w:r>
        <w:rPr>
          <w:rFonts w:ascii="仿宋_GB2312" w:eastAsia="仿宋_GB2312" w:hAnsi="仿宋_GB2312" w:cs="仿宋_GB2312" w:hint="eastAsia"/>
          <w:kern w:val="0"/>
          <w:sz w:val="32"/>
          <w:szCs w:val="32"/>
        </w:rPr>
        <w:t>严格按照管理办法执行，有效地降低电动自行车的运行安全事故。</w:t>
      </w:r>
    </w:p>
    <w:p w:rsidR="00AC0266" w:rsidRDefault="00AC0266">
      <w:pPr>
        <w:widowControl/>
        <w:spacing w:line="572" w:lineRule="exact"/>
        <w:ind w:firstLineChars="200" w:firstLine="640"/>
        <w:jc w:val="left"/>
        <w:rPr>
          <w:rFonts w:ascii="仿宋_GB2312" w:eastAsia="仿宋_GB2312" w:hAnsi="仿宋_GB2312" w:cs="仿宋_GB2312"/>
          <w:kern w:val="0"/>
          <w:sz w:val="32"/>
          <w:szCs w:val="32"/>
        </w:rPr>
      </w:pPr>
    </w:p>
    <w:p w:rsidR="00AC0266" w:rsidRDefault="00AC0266"/>
    <w:sectPr w:rsidR="00AC0266" w:rsidSect="00AC02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8F0" w:rsidRDefault="00E778F0" w:rsidP="00D13B96">
      <w:r>
        <w:separator/>
      </w:r>
    </w:p>
  </w:endnote>
  <w:endnote w:type="continuationSeparator" w:id="1">
    <w:p w:rsidR="00E778F0" w:rsidRDefault="00E778F0" w:rsidP="00D13B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标宋">
    <w:altName w:val="宋体"/>
    <w:charset w:val="86"/>
    <w:family w:val="auto"/>
    <w:pitch w:val="default"/>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8F0" w:rsidRDefault="00E778F0" w:rsidP="00D13B96">
      <w:r>
        <w:separator/>
      </w:r>
    </w:p>
  </w:footnote>
  <w:footnote w:type="continuationSeparator" w:id="1">
    <w:p w:rsidR="00E778F0" w:rsidRDefault="00E778F0" w:rsidP="00D13B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4DB0"/>
    <w:rsid w:val="002050EE"/>
    <w:rsid w:val="00286EE6"/>
    <w:rsid w:val="004415F7"/>
    <w:rsid w:val="00456B9B"/>
    <w:rsid w:val="005142A1"/>
    <w:rsid w:val="00690EC0"/>
    <w:rsid w:val="007575EE"/>
    <w:rsid w:val="008E4CCF"/>
    <w:rsid w:val="009C7E84"/>
    <w:rsid w:val="00A74465"/>
    <w:rsid w:val="00AC0266"/>
    <w:rsid w:val="00B108DF"/>
    <w:rsid w:val="00B84DCC"/>
    <w:rsid w:val="00C96899"/>
    <w:rsid w:val="00CE018A"/>
    <w:rsid w:val="00D13B96"/>
    <w:rsid w:val="00D37C69"/>
    <w:rsid w:val="00E44DB0"/>
    <w:rsid w:val="00E778F0"/>
    <w:rsid w:val="00F41C51"/>
    <w:rsid w:val="00F74750"/>
    <w:rsid w:val="55D445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2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AC026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AC026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C0266"/>
    <w:rPr>
      <w:sz w:val="18"/>
      <w:szCs w:val="18"/>
    </w:rPr>
  </w:style>
  <w:style w:type="character" w:customStyle="1" w:styleId="Char">
    <w:name w:val="页脚 Char"/>
    <w:basedOn w:val="a0"/>
    <w:link w:val="a3"/>
    <w:uiPriority w:val="99"/>
    <w:semiHidden/>
    <w:rsid w:val="00AC026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248</Words>
  <Characters>1419</Characters>
  <Application>Microsoft Office Word</Application>
  <DocSecurity>0</DocSecurity>
  <Lines>11</Lines>
  <Paragraphs>3</Paragraphs>
  <ScaleCrop>false</ScaleCrop>
  <Company>IT</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张华丽</cp:lastModifiedBy>
  <cp:revision>10</cp:revision>
  <dcterms:created xsi:type="dcterms:W3CDTF">2018-01-08T06:46:00Z</dcterms:created>
  <dcterms:modified xsi:type="dcterms:W3CDTF">2018-03-26T06:40:00Z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