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22" w:rsidRDefault="00A44C11">
      <w:pPr>
        <w:wordWrap w:val="0"/>
        <w:spacing w:line="440" w:lineRule="exact"/>
        <w:ind w:right="300"/>
        <w:jc w:val="right"/>
        <w:rPr>
          <w:sz w:val="30"/>
        </w:rPr>
      </w:pPr>
      <w:r>
        <w:rPr>
          <w:rFonts w:hint="eastAsia"/>
          <w:sz w:val="30"/>
        </w:rPr>
        <w:t>八届三次</w:t>
      </w:r>
      <w:r>
        <w:rPr>
          <w:rFonts w:hint="eastAsia"/>
          <w:sz w:val="30"/>
        </w:rPr>
        <w:t xml:space="preserve">  </w:t>
      </w:r>
      <w:r>
        <w:rPr>
          <w:rFonts w:hint="eastAsia"/>
          <w:sz w:val="30"/>
        </w:rPr>
        <w:t>第</w:t>
      </w:r>
      <w:r>
        <w:rPr>
          <w:rFonts w:hint="eastAsia"/>
          <w:sz w:val="30"/>
        </w:rPr>
        <w:t xml:space="preserve"> </w:t>
      </w:r>
      <w:r w:rsidR="00077877">
        <w:rPr>
          <w:rFonts w:hint="eastAsia"/>
          <w:sz w:val="30"/>
        </w:rPr>
        <w:t>24</w:t>
      </w:r>
      <w:r>
        <w:rPr>
          <w:rFonts w:hint="eastAsia"/>
          <w:sz w:val="30"/>
        </w:rPr>
        <w:t>号</w:t>
      </w:r>
    </w:p>
    <w:p w:rsidR="001B1F22" w:rsidRDefault="001B1F22">
      <w:pPr>
        <w:spacing w:line="440" w:lineRule="exact"/>
        <w:rPr>
          <w:sz w:val="30"/>
        </w:rPr>
      </w:pPr>
    </w:p>
    <w:p w:rsidR="001B1F22" w:rsidRDefault="00A44C11">
      <w:pPr>
        <w:jc w:val="center"/>
        <w:rPr>
          <w:rFonts w:eastAsia="华文标宋"/>
          <w:sz w:val="48"/>
          <w:szCs w:val="48"/>
        </w:rPr>
      </w:pPr>
      <w:r>
        <w:rPr>
          <w:rFonts w:eastAsia="华文标宋" w:hint="eastAsia"/>
          <w:sz w:val="48"/>
          <w:szCs w:val="48"/>
        </w:rPr>
        <w:t>政协温州市洞头区委员会提案</w:t>
      </w:r>
    </w:p>
    <w:p w:rsidR="001B1F22" w:rsidRDefault="001B1F22">
      <w:pPr>
        <w:spacing w:line="440" w:lineRule="exact"/>
        <w:rPr>
          <w:sz w:val="30"/>
        </w:rPr>
      </w:pP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8"/>
        <w:gridCol w:w="1468"/>
        <w:gridCol w:w="1539"/>
        <w:gridCol w:w="1341"/>
        <w:gridCol w:w="984"/>
        <w:gridCol w:w="366"/>
        <w:gridCol w:w="1613"/>
      </w:tblGrid>
      <w:tr w:rsidR="001B1F22">
        <w:trPr>
          <w:cantSplit/>
          <w:trHeight w:val="730"/>
          <w:jc w:val="center"/>
        </w:trPr>
        <w:tc>
          <w:tcPr>
            <w:tcW w:w="1728" w:type="dxa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案    由</w:t>
            </w:r>
          </w:p>
        </w:tc>
        <w:tc>
          <w:tcPr>
            <w:tcW w:w="7311" w:type="dxa"/>
            <w:gridSpan w:val="6"/>
            <w:noWrap/>
            <w:vAlign w:val="center"/>
          </w:tcPr>
          <w:p w:rsidR="001B1F22" w:rsidRDefault="00A44C11">
            <w:pPr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222222"/>
                <w:kern w:val="0"/>
                <w:sz w:val="24"/>
              </w:rPr>
              <w:t>关于加快我区旅游人才引进和培育的提案</w:t>
            </w:r>
          </w:p>
        </w:tc>
      </w:tr>
      <w:tr w:rsidR="001B1F22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提 案 人</w:t>
            </w:r>
          </w:p>
        </w:tc>
        <w:tc>
          <w:tcPr>
            <w:tcW w:w="1468" w:type="dxa"/>
            <w:noWrap/>
            <w:vAlign w:val="bottom"/>
          </w:tcPr>
          <w:p w:rsidR="001B1F22" w:rsidRDefault="00A44C11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苏  娅</w:t>
            </w:r>
          </w:p>
        </w:tc>
        <w:tc>
          <w:tcPr>
            <w:tcW w:w="1539" w:type="dxa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界 别</w:t>
            </w:r>
          </w:p>
        </w:tc>
        <w:tc>
          <w:tcPr>
            <w:tcW w:w="1341" w:type="dxa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特邀界</w:t>
            </w:r>
          </w:p>
        </w:tc>
        <w:tc>
          <w:tcPr>
            <w:tcW w:w="1350" w:type="dxa"/>
            <w:gridSpan w:val="2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1613" w:type="dxa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黑体" w:eastAsia="黑体" w:hAnsi="黑体" w:cs="黑体" w:hint="eastAsia"/>
                <w:sz w:val="24"/>
              </w:rPr>
              <w:t>13858823056</w:t>
            </w:r>
          </w:p>
        </w:tc>
      </w:tr>
      <w:tr w:rsidR="001B1F22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311" w:type="dxa"/>
            <w:gridSpan w:val="6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rFonts w:ascii="宋体" w:eastAsia="黑体" w:hAnsi="宋体"/>
                <w:sz w:val="24"/>
              </w:rPr>
            </w:pPr>
            <w:r>
              <w:rPr>
                <w:rFonts w:ascii="黑体" w:eastAsia="黑体" w:hAnsi="黑体" w:cs="黑体" w:hint="eastAsia"/>
                <w:color w:val="222222"/>
                <w:kern w:val="0"/>
                <w:sz w:val="24"/>
              </w:rPr>
              <w:t>温州市洞头区文联</w:t>
            </w:r>
          </w:p>
        </w:tc>
      </w:tr>
      <w:tr w:rsidR="001B1F22">
        <w:trPr>
          <w:cantSplit/>
          <w:trHeight w:val="567"/>
          <w:jc w:val="center"/>
        </w:trPr>
        <w:tc>
          <w:tcPr>
            <w:tcW w:w="1728" w:type="dxa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建议承办单位</w:t>
            </w:r>
          </w:p>
        </w:tc>
        <w:tc>
          <w:tcPr>
            <w:tcW w:w="7311" w:type="dxa"/>
            <w:gridSpan w:val="6"/>
            <w:noWrap/>
            <w:vAlign w:val="center"/>
          </w:tcPr>
          <w:p w:rsidR="001B1F22" w:rsidRDefault="001B1F22">
            <w:pPr>
              <w:spacing w:line="440" w:lineRule="exact"/>
              <w:jc w:val="right"/>
              <w:rPr>
                <w:rFonts w:ascii="宋体" w:hAnsi="宋体"/>
                <w:sz w:val="24"/>
              </w:rPr>
            </w:pPr>
          </w:p>
        </w:tc>
      </w:tr>
      <w:tr w:rsidR="001B1F22">
        <w:trPr>
          <w:trHeight w:val="537"/>
          <w:jc w:val="center"/>
        </w:trPr>
        <w:tc>
          <w:tcPr>
            <w:tcW w:w="1728" w:type="dxa"/>
            <w:noWrap/>
            <w:vAlign w:val="center"/>
          </w:tcPr>
          <w:p w:rsidR="001B1F22" w:rsidRDefault="00A44C11">
            <w:pPr>
              <w:spacing w:line="360" w:lineRule="exact"/>
              <w:ind w:right="128"/>
              <w:jc w:val="center"/>
              <w:rPr>
                <w:rFonts w:ascii="宋体" w:hAnsi="宋体"/>
                <w:sz w:val="24"/>
              </w:rPr>
            </w:pPr>
            <w:bookmarkStart w:id="0" w:name="_GoBack" w:colFirst="1" w:colLast="5"/>
            <w:bookmarkEnd w:id="0"/>
            <w:r>
              <w:rPr>
                <w:rFonts w:ascii="宋体" w:hAnsi="宋体" w:hint="eastAsia"/>
                <w:sz w:val="24"/>
              </w:rPr>
              <w:t>附议人姓名</w:t>
            </w:r>
          </w:p>
        </w:tc>
        <w:tc>
          <w:tcPr>
            <w:tcW w:w="5332" w:type="dxa"/>
            <w:gridSpan w:val="4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    系     地     址</w:t>
            </w:r>
          </w:p>
        </w:tc>
        <w:tc>
          <w:tcPr>
            <w:tcW w:w="1979" w:type="dxa"/>
            <w:gridSpan w:val="2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电 话</w:t>
            </w:r>
          </w:p>
        </w:tc>
      </w:tr>
      <w:tr w:rsidR="001B1F22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黑体" w:eastAsia="黑体" w:hAnsi="黑体" w:cs="黑体" w:hint="eastAsia"/>
                <w:color w:val="222222"/>
                <w:kern w:val="0"/>
                <w:sz w:val="24"/>
              </w:rPr>
              <w:t>高海龙</w:t>
            </w:r>
          </w:p>
        </w:tc>
        <w:tc>
          <w:tcPr>
            <w:tcW w:w="5332" w:type="dxa"/>
            <w:gridSpan w:val="4"/>
            <w:noWrap/>
            <w:vAlign w:val="center"/>
          </w:tcPr>
          <w:p w:rsidR="001B1F22" w:rsidRPr="00F408F3" w:rsidRDefault="00B41304">
            <w:pPr>
              <w:spacing w:line="440" w:lineRule="exact"/>
              <w:jc w:val="center"/>
              <w:rPr>
                <w:rFonts w:ascii="黑体" w:eastAsia="黑体" w:hAnsi="黑体" w:cs="黑体"/>
                <w:color w:val="222222"/>
                <w:kern w:val="0"/>
                <w:sz w:val="24"/>
              </w:rPr>
            </w:pPr>
            <w:r w:rsidRPr="00F408F3">
              <w:rPr>
                <w:rFonts w:ascii="黑体" w:eastAsia="黑体" w:hAnsi="黑体" w:cs="黑体" w:hint="eastAsia"/>
                <w:color w:val="222222"/>
                <w:kern w:val="0"/>
                <w:sz w:val="24"/>
              </w:rPr>
              <w:t>区委宣传部</w:t>
            </w:r>
          </w:p>
        </w:tc>
        <w:tc>
          <w:tcPr>
            <w:tcW w:w="1979" w:type="dxa"/>
            <w:gridSpan w:val="2"/>
            <w:noWrap/>
            <w:vAlign w:val="center"/>
          </w:tcPr>
          <w:p w:rsidR="001B1F22" w:rsidRPr="00F408F3" w:rsidRDefault="00B41304">
            <w:pPr>
              <w:spacing w:line="440" w:lineRule="exact"/>
              <w:jc w:val="center"/>
              <w:rPr>
                <w:rFonts w:ascii="黑体" w:eastAsia="黑体" w:hAnsi="黑体" w:cs="黑体"/>
                <w:color w:val="222222"/>
                <w:kern w:val="0"/>
                <w:sz w:val="24"/>
              </w:rPr>
            </w:pPr>
            <w:r w:rsidRPr="00F408F3">
              <w:rPr>
                <w:rFonts w:ascii="黑体" w:eastAsia="黑体" w:hAnsi="黑体" w:cs="黑体"/>
                <w:color w:val="222222"/>
                <w:kern w:val="0"/>
                <w:sz w:val="24"/>
              </w:rPr>
              <w:t>13858838552</w:t>
            </w:r>
          </w:p>
        </w:tc>
      </w:tr>
      <w:tr w:rsidR="001B1F22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1F22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1F22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1F22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1F22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B1F22">
        <w:trPr>
          <w:trHeight w:val="567"/>
          <w:jc w:val="center"/>
        </w:trPr>
        <w:tc>
          <w:tcPr>
            <w:tcW w:w="1728" w:type="dxa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332" w:type="dxa"/>
            <w:gridSpan w:val="4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79" w:type="dxa"/>
            <w:gridSpan w:val="2"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1B1F22" w:rsidRDefault="001B1F22">
      <w:pPr>
        <w:spacing w:line="440" w:lineRule="exact"/>
        <w:rPr>
          <w:sz w:val="30"/>
        </w:rPr>
      </w:pPr>
    </w:p>
    <w:p w:rsidR="001B1F22" w:rsidRDefault="00A44C11">
      <w:pPr>
        <w:spacing w:line="440" w:lineRule="exact"/>
        <w:rPr>
          <w:sz w:val="30"/>
        </w:rPr>
      </w:pPr>
      <w:r>
        <w:rPr>
          <w:rFonts w:hint="eastAsia"/>
          <w:sz w:val="30"/>
        </w:rPr>
        <w:t>提案审查意见（以下由提案审查机构填写）：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"/>
        <w:gridCol w:w="1260"/>
        <w:gridCol w:w="7200"/>
      </w:tblGrid>
      <w:tr w:rsidR="001B1F22">
        <w:trPr>
          <w:cantSplit/>
        </w:trPr>
        <w:tc>
          <w:tcPr>
            <w:tcW w:w="468" w:type="dxa"/>
            <w:vMerge w:val="restart"/>
            <w:noWrap/>
            <w:vAlign w:val="center"/>
          </w:tcPr>
          <w:p w:rsidR="001B1F22" w:rsidRDefault="00A44C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初</w:t>
            </w:r>
          </w:p>
          <w:p w:rsidR="001B1F22" w:rsidRDefault="00A44C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1B1F22" w:rsidRDefault="00A44C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1B1F22" w:rsidRDefault="00A44C1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1260" w:type="dxa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立案情况</w:t>
            </w:r>
          </w:p>
        </w:tc>
        <w:tc>
          <w:tcPr>
            <w:tcW w:w="7200" w:type="dxa"/>
            <w:noWrap/>
          </w:tcPr>
          <w:p w:rsidR="001B1F22" w:rsidRDefault="000C18F5">
            <w:pPr>
              <w:spacing w:line="44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A44C11">
              <w:rPr>
                <w:rFonts w:ascii="宋体" w:hAnsi="宋体" w:hint="eastAsia"/>
                <w:sz w:val="24"/>
              </w:rPr>
              <w:t>立案      □不予立案</w:t>
            </w:r>
          </w:p>
        </w:tc>
      </w:tr>
      <w:tr w:rsidR="001B1F22">
        <w:trPr>
          <w:cantSplit/>
        </w:trPr>
        <w:tc>
          <w:tcPr>
            <w:tcW w:w="468" w:type="dxa"/>
            <w:vMerge/>
            <w:noWrap/>
            <w:vAlign w:val="center"/>
          </w:tcPr>
          <w:p w:rsidR="001B1F22" w:rsidRDefault="001B1F22">
            <w:pPr>
              <w:spacing w:line="44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类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7200" w:type="dxa"/>
            <w:noWrap/>
            <w:vAlign w:val="center"/>
          </w:tcPr>
          <w:p w:rsidR="001B1F22" w:rsidRDefault="000C18F5">
            <w:pPr>
              <w:spacing w:line="500" w:lineRule="exact"/>
              <w:rPr>
                <w:sz w:val="24"/>
              </w:rPr>
            </w:pPr>
            <w:r>
              <w:rPr>
                <w:rFonts w:ascii="MS Mincho" w:eastAsia="MS Mincho" w:hAnsi="MS Mincho" w:cs="MS Mincho" w:hint="eastAsia"/>
                <w:sz w:val="24"/>
              </w:rPr>
              <w:t>☑</w:t>
            </w:r>
            <w:r w:rsidR="00A44C11">
              <w:rPr>
                <w:rFonts w:ascii="宋体" w:hAnsi="宋体" w:hint="eastAsia"/>
                <w:sz w:val="24"/>
              </w:rPr>
              <w:t xml:space="preserve">政治建设  □经济建设  </w:t>
            </w:r>
            <w:r w:rsidR="00A44C11">
              <w:rPr>
                <w:rFonts w:ascii="宋体" w:hAnsi="宋体" w:hint="eastAsia"/>
                <w:spacing w:val="-4"/>
                <w:sz w:val="24"/>
              </w:rPr>
              <w:t>□</w:t>
            </w:r>
            <w:r w:rsidR="00A44C11">
              <w:rPr>
                <w:rFonts w:ascii="宋体" w:hAnsi="宋体" w:hint="eastAsia"/>
                <w:sz w:val="24"/>
              </w:rPr>
              <w:t xml:space="preserve">文化建设  □社会建设  </w:t>
            </w:r>
          </w:p>
          <w:p w:rsidR="001B1F22" w:rsidRDefault="00A44C11" w:rsidP="00B41304">
            <w:pPr>
              <w:spacing w:line="500" w:lineRule="exact"/>
              <w:ind w:firstLineChars="300" w:firstLine="720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□生态建设    □人民生活    □综合</w:t>
            </w:r>
          </w:p>
        </w:tc>
      </w:tr>
      <w:tr w:rsidR="001B1F22">
        <w:trPr>
          <w:cantSplit/>
        </w:trPr>
        <w:tc>
          <w:tcPr>
            <w:tcW w:w="1728" w:type="dxa"/>
            <w:gridSpan w:val="2"/>
            <w:noWrap/>
            <w:vAlign w:val="center"/>
          </w:tcPr>
          <w:p w:rsidR="001B1F22" w:rsidRDefault="00A44C11">
            <w:pPr>
              <w:spacing w:line="4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批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意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200" w:type="dxa"/>
            <w:noWrap/>
          </w:tcPr>
          <w:p w:rsidR="001B1F22" w:rsidRDefault="001B1F22">
            <w:pPr>
              <w:spacing w:line="440" w:lineRule="exact"/>
              <w:rPr>
                <w:sz w:val="24"/>
              </w:rPr>
            </w:pPr>
          </w:p>
          <w:p w:rsidR="001B1F22" w:rsidRDefault="001B1F22">
            <w:pPr>
              <w:spacing w:line="440" w:lineRule="exact"/>
              <w:rPr>
                <w:sz w:val="24"/>
              </w:rPr>
            </w:pPr>
          </w:p>
        </w:tc>
      </w:tr>
    </w:tbl>
    <w:p w:rsidR="001B1F22" w:rsidRDefault="00A44C11">
      <w:pPr>
        <w:widowControl/>
        <w:spacing w:line="360" w:lineRule="exact"/>
        <w:ind w:firstLineChars="200" w:firstLine="422"/>
        <w:rPr>
          <w:rFonts w:ascii="楷体" w:eastAsia="楷体" w:hAnsi="楷体" w:cs="宋体"/>
          <w:kern w:val="0"/>
          <w:szCs w:val="21"/>
        </w:rPr>
      </w:pPr>
      <w:r>
        <w:rPr>
          <w:rFonts w:ascii="楷体" w:eastAsia="楷体" w:hAnsi="楷体" w:cs="宋体" w:hint="eastAsia"/>
          <w:b/>
          <w:kern w:val="0"/>
          <w:szCs w:val="21"/>
        </w:rPr>
        <w:t>备注</w:t>
      </w:r>
      <w:r>
        <w:rPr>
          <w:rFonts w:ascii="楷体" w:eastAsia="楷体" w:hAnsi="楷体" w:cs="宋体"/>
          <w:b/>
          <w:kern w:val="0"/>
          <w:szCs w:val="21"/>
        </w:rPr>
        <w:t>：</w:t>
      </w:r>
      <w:r>
        <w:rPr>
          <w:rFonts w:ascii="楷体" w:eastAsia="楷体" w:hAnsi="楷体" w:cs="宋体" w:hint="eastAsia"/>
          <w:kern w:val="0"/>
          <w:szCs w:val="21"/>
        </w:rPr>
        <w:t>请</w:t>
      </w:r>
      <w:r>
        <w:rPr>
          <w:rFonts w:ascii="楷体" w:eastAsia="楷体" w:hAnsi="楷体" w:cs="宋体"/>
          <w:kern w:val="0"/>
          <w:szCs w:val="21"/>
        </w:rPr>
        <w:t>通过洞头区政府门户网站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http://www.dongtou.gov.cn/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“建议提案”</w:t>
      </w:r>
      <w:r>
        <w:rPr>
          <w:rFonts w:ascii="楷体" w:eastAsia="楷体" w:hAnsi="楷体" w:cs="宋体" w:hint="eastAsia"/>
          <w:kern w:val="0"/>
          <w:szCs w:val="21"/>
        </w:rPr>
        <w:t>和</w:t>
      </w:r>
      <w:r>
        <w:rPr>
          <w:rFonts w:ascii="楷体" w:eastAsia="楷体" w:hAnsi="楷体" w:cs="宋体"/>
          <w:kern w:val="0"/>
          <w:szCs w:val="21"/>
        </w:rPr>
        <w:t>洞头政协网站</w:t>
      </w:r>
      <w:r>
        <w:rPr>
          <w:rFonts w:ascii="楷体" w:eastAsia="楷体" w:hAnsi="楷体" w:cs="宋体" w:hint="eastAsia"/>
          <w:kern w:val="0"/>
          <w:szCs w:val="21"/>
        </w:rPr>
        <w:t>（</w:t>
      </w:r>
      <w:r>
        <w:rPr>
          <w:rFonts w:ascii="楷体" w:eastAsia="楷体" w:hAnsi="楷体" w:cs="宋体"/>
          <w:kern w:val="0"/>
          <w:szCs w:val="21"/>
        </w:rPr>
        <w:t>http://zxb.dongtou.gov.cn/</w:t>
      </w:r>
      <w:r>
        <w:rPr>
          <w:rFonts w:ascii="楷体" w:eastAsia="楷体" w:hAnsi="楷体" w:cs="宋体" w:hint="eastAsia"/>
          <w:kern w:val="0"/>
          <w:szCs w:val="21"/>
        </w:rPr>
        <w:t>）</w:t>
      </w:r>
      <w:r>
        <w:rPr>
          <w:rFonts w:ascii="楷体" w:eastAsia="楷体" w:hAnsi="楷体" w:cs="宋体"/>
          <w:kern w:val="0"/>
          <w:szCs w:val="21"/>
        </w:rPr>
        <w:t>“提案管理系统”提交电子文档提案。</w:t>
      </w:r>
    </w:p>
    <w:p w:rsidR="001B1F22" w:rsidRDefault="001B1F22">
      <w:pPr>
        <w:widowControl/>
        <w:spacing w:line="360" w:lineRule="exact"/>
        <w:ind w:firstLineChars="200" w:firstLine="420"/>
        <w:rPr>
          <w:rFonts w:ascii="楷体" w:eastAsia="楷体" w:hAnsi="楷体" w:cs="宋体"/>
          <w:kern w:val="0"/>
          <w:szCs w:val="21"/>
        </w:rPr>
      </w:pPr>
    </w:p>
    <w:p w:rsidR="001B1F22" w:rsidRDefault="001B1F22">
      <w:pPr>
        <w:widowControl/>
        <w:spacing w:line="360" w:lineRule="exact"/>
        <w:rPr>
          <w:rFonts w:ascii="黑体" w:eastAsia="黑体" w:hAnsi="黑体" w:cs="黑体"/>
          <w:color w:val="222222"/>
          <w:kern w:val="0"/>
          <w:sz w:val="24"/>
        </w:rPr>
      </w:pPr>
    </w:p>
    <w:p w:rsidR="001B1F22" w:rsidRDefault="001B1F22">
      <w:pPr>
        <w:widowControl/>
        <w:spacing w:line="572" w:lineRule="exact"/>
        <w:jc w:val="center"/>
        <w:rPr>
          <w:rFonts w:ascii="方正小标宋简体" w:eastAsia="方正小标宋简体" w:hAnsi="方正小标宋简体" w:cs="方正小标宋简体"/>
          <w:color w:val="222222"/>
          <w:kern w:val="0"/>
          <w:sz w:val="44"/>
          <w:szCs w:val="44"/>
        </w:rPr>
        <w:sectPr w:rsidR="001B1F22">
          <w:headerReference w:type="even" r:id="rId7"/>
          <w:headerReference w:type="default" r:id="rId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B1F22" w:rsidRDefault="00A44C11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44"/>
          <w:szCs w:val="44"/>
        </w:rPr>
        <w:lastRenderedPageBreak/>
        <w:t>关于加快我区旅游人才引进和培育的提案</w:t>
      </w:r>
    </w:p>
    <w:p w:rsidR="001B1F22" w:rsidRDefault="001B1F22">
      <w:pPr>
        <w:spacing w:line="572" w:lineRule="exact"/>
        <w:jc w:val="center"/>
        <w:rPr>
          <w:rFonts w:ascii="方正小标宋简体" w:eastAsia="方正小标宋简体" w:hAnsi="方正小标宋简体" w:cs="方正小标宋简体"/>
          <w:color w:val="333333"/>
          <w:sz w:val="44"/>
          <w:szCs w:val="44"/>
        </w:rPr>
      </w:pPr>
    </w:p>
    <w:p w:rsidR="001B1F22" w:rsidRDefault="00A44C11">
      <w:pPr>
        <w:widowControl/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当前</w:t>
      </w:r>
      <w:r>
        <w:rPr>
          <w:rFonts w:ascii="仿宋_GB2312" w:eastAsia="仿宋_GB2312" w:hAnsi="仿宋_GB2312" w:cs="仿宋_GB2312" w:hint="eastAsia"/>
          <w:sz w:val="32"/>
          <w:szCs w:val="32"/>
        </w:rPr>
        <w:t>，全区上下正在如火如荼的加快全域旅游建设，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尽管我区拥有得天独厚的条件和资源，但也存在不少困难和短板。其中一大短板就是旅游人才短缺，与当前旅游业的发展在洞头经济社会发展中的战略相比，旅游人力资源无论从量还是质上均相距甚远。</w:t>
      </w:r>
    </w:p>
    <w:p w:rsidR="001B1F22" w:rsidRDefault="00A44C11">
      <w:pPr>
        <w:widowControl/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第一,人才质素偏低。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整个旅游行业的从业人员素质普遍较低，旅游人才尤其是高素质专业人才匮乏的问题日益凸显，众多旅游企业求贤若渴。以导游队伍为例，全区持国导证38人，中级2个，高级4个，其余为初级，其中专职导游仅为6人，都为国语导游，外语导游为零。大部分涉旅从业人员的文化素质和专业素质偏低，服务意识淡薄，服务质量有待提高。</w:t>
      </w:r>
    </w:p>
    <w:p w:rsidR="001B1F22" w:rsidRDefault="00A44C11">
      <w:pPr>
        <w:pStyle w:val="a5"/>
        <w:widowControl/>
        <w:spacing w:beforeAutospacing="0" w:afterAutospacing="0" w:line="572" w:lineRule="exact"/>
        <w:ind w:right="36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第二,人才总量偏小。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旅游人才数量满足不了现行行业的需求。由于目前未有就业准入制度，旅游行业就业无门槛、薪酬水平低、社会认可度和美誉度不高，出现了旅游行业存在人员流动性大、人才流失率高的问题。一方面企业抱怨找不到人、更是找不到高素质人才，另一方面旅游专业应届毕业生“有业不就”，对职业的认同感低，一次就业率低，巩固率更低。这些方面都直接影响着旅游行业的就业人数。</w:t>
      </w:r>
    </w:p>
    <w:p w:rsidR="001B1F22" w:rsidRDefault="00A44C11">
      <w:pPr>
        <w:pStyle w:val="a5"/>
        <w:widowControl/>
        <w:spacing w:beforeAutospacing="0" w:afterAutospacing="0" w:line="572" w:lineRule="exact"/>
        <w:ind w:right="36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第三，人才结构单一。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突出表现为年龄结构、层次结构的不合理。从年龄层次上看，传统旅游行业人才的年龄偏大。同时，由于缺乏吸引旅游人才的载体和政策，致使旅游新业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态如民宿运营、低空旅游、康养旅游、文旅伴手礼研发等旅游跨界融合新业态都需要大量的专业人才。</w:t>
      </w:r>
    </w:p>
    <w:p w:rsidR="001B1F22" w:rsidRDefault="00A44C11">
      <w:pPr>
        <w:pStyle w:val="a5"/>
        <w:widowControl/>
        <w:spacing w:beforeAutospacing="0" w:afterAutospacing="0" w:line="572" w:lineRule="exact"/>
        <w:ind w:right="36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为更好地解决我区旅游人才问题，特建议如下：</w:t>
      </w:r>
    </w:p>
    <w:p w:rsidR="001B1F22" w:rsidRDefault="00A44C11">
      <w:pPr>
        <w:pStyle w:val="a5"/>
        <w:widowControl/>
        <w:spacing w:beforeAutospacing="0" w:afterAutospacing="0" w:line="572" w:lineRule="exact"/>
        <w:ind w:right="36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第一，尽快建立旅游人才信息库。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应该围绕旅游产业发展的需要，对现有的旅游人才进行精准而有价值的专题研究，摸清我区旅游人才的家底，尤其对高端旅游人才、旅游管理人才、旅游新业态人才等进行统计，依托信息技术建设专业的人才信息库，及时掌握跟踪旅游人才的状态。在此基础上，将旅游人才的发展纳入到旅游发展战略，切实推进“人才兴旅”。</w:t>
      </w:r>
    </w:p>
    <w:p w:rsidR="001B1F22" w:rsidRDefault="00A44C11">
      <w:pPr>
        <w:pStyle w:val="a5"/>
        <w:widowControl/>
        <w:spacing w:beforeAutospacing="0" w:afterAutospacing="0" w:line="572" w:lineRule="exact"/>
        <w:ind w:right="36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第二，实施旅游人才素质提升工程。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对现有的各级各类旅游从业人才实施素质提升工程，可以依托国内顶尖的旅游院校设立旅游企业管理人才培训基地，有针对性、分批次对相关人才进行培训，对于旅游技能型人才的培训和素质提升，可以采取赴院校培训、企业联盟培训、技能比武等多种手段进行。</w:t>
      </w:r>
    </w:p>
    <w:p w:rsidR="001B1F22" w:rsidRDefault="00A44C11">
      <w:pPr>
        <w:pStyle w:val="a5"/>
        <w:widowControl/>
        <w:spacing w:beforeAutospacing="0" w:afterAutospacing="0" w:line="572" w:lineRule="exact"/>
        <w:ind w:right="36" w:firstLineChars="200" w:firstLine="640"/>
        <w:jc w:val="both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第三，大力发展旅游教育。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做好旅游教育文章，要主动出击，寻求企业的合作，并借助仁济学院、职教中心资源优势，以学历教育+职业教育的模式，走校企合作，产教融合之路，构建新型的旅游人才实训基地，加大对本土旅游人才培养的力度。同时，设立旅游人才培养的专项资金，用于支持不同类型的旅游人才的教育和培养，支持本地院校办好旅游专业，撬动企业主动培养人才的积极性。</w:t>
      </w:r>
    </w:p>
    <w:p w:rsidR="001B1F22" w:rsidRPr="003A3805" w:rsidRDefault="00A44C11">
      <w:pPr>
        <w:widowControl/>
        <w:spacing w:line="572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lastRenderedPageBreak/>
        <w:t>第四，加大新业态旅游人才的引进力度。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可借鉴深圳、厦门、武汉等地的经验，大量引进急缺的旅游人才。在人才引进方面，政府为主导，但企业是用人的主体，企业必须要主动出击，对产业发展需要的旅游人才有清晰的认识，建立旅游人才引进、使用方面的机制。同时充分用好“候鸟型”旅游人才，加大对旅游院校的教授、旅游企业的技术人才、旅游新业态高层人士等“候鸟型”旅游人才的引才渠道，本着“不为我有，但为我用”的原则，实现精准对接，使其更好地服务于我区的旅游发展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br/>
      </w:r>
      <w:r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</w:t>
      </w:r>
      <w:r w:rsidR="0076712C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 xml:space="preserve">  </w:t>
      </w:r>
      <w:r w:rsidR="005F46E6" w:rsidRPr="003A3805">
        <w:rPr>
          <w:rFonts w:ascii="仿宋_GB2312" w:eastAsia="仿宋_GB2312" w:hAnsi="仿宋_GB2312" w:cs="仿宋_GB2312" w:hint="eastAsia"/>
          <w:b/>
          <w:color w:val="000000"/>
          <w:kern w:val="0"/>
          <w:sz w:val="32"/>
          <w:szCs w:val="32"/>
        </w:rPr>
        <w:t xml:space="preserve"> </w:t>
      </w:r>
      <w:r w:rsidRPr="003A3805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第五，设立旅游人才发展智库。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聚集优秀人才专门服务于洞头的旅游人才工作，协助政府做好不同类型的旅游人才的需求预测，因地制宜制定旅游人才政策，制定旅游人才培养的规划实施方案，满足我区旅游发展不同阶段的人才需求。</w:t>
      </w:r>
    </w:p>
    <w:p w:rsidR="001B1F22" w:rsidRDefault="00A44C11">
      <w:pPr>
        <w:pStyle w:val="3"/>
        <w:widowControl/>
        <w:wordWrap w:val="0"/>
        <w:spacing w:after="15" w:line="572" w:lineRule="exact"/>
        <w:rPr>
          <w:rFonts w:ascii="仿宋_GB2312" w:eastAsia="仿宋_GB2312" w:hAnsi="仿宋_GB2312" w:cs="仿宋_GB2312" w:hint="default"/>
          <w:color w:val="000000"/>
          <w:sz w:val="32"/>
          <w:szCs w:val="32"/>
        </w:rPr>
      </w:pPr>
      <w:r>
        <w:rPr>
          <w:rFonts w:ascii="黑体" w:eastAsia="黑体" w:hAnsi="黑体" w:cs="黑体"/>
          <w:b w:val="0"/>
          <w:color w:val="000000"/>
          <w:sz w:val="32"/>
          <w:szCs w:val="32"/>
        </w:rPr>
        <w:t xml:space="preserve">   第六，营造人才扎根创业的环境</w:t>
      </w:r>
      <w:r>
        <w:rPr>
          <w:rFonts w:ascii="黑体" w:eastAsia="黑体" w:hAnsi="黑体" w:cs="黑体"/>
          <w:bCs/>
          <w:color w:val="000000"/>
          <w:sz w:val="32"/>
          <w:szCs w:val="32"/>
        </w:rPr>
        <w:t>。</w:t>
      </w:r>
      <w:r>
        <w:rPr>
          <w:rFonts w:ascii="仿宋_GB2312" w:eastAsia="仿宋_GB2312" w:hAnsi="仿宋_GB2312" w:cs="仿宋_GB2312"/>
          <w:b w:val="0"/>
          <w:color w:val="000000"/>
          <w:sz w:val="32"/>
          <w:szCs w:val="32"/>
        </w:rPr>
        <w:t>政府和企业要为人才创造良好的从业环境，使人才能够留得住、干得好，尤其不能忽视本地旅游人才，只有“</w:t>
      </w:r>
      <w:hyperlink r:id="rId9" w:tgtFrame="https://www.baidu.com/_blank" w:history="1">
        <w:r>
          <w:rPr>
            <w:rFonts w:ascii="仿宋_GB2312" w:eastAsia="仿宋_GB2312" w:hAnsi="仿宋_GB2312" w:cs="仿宋_GB2312"/>
            <w:b w:val="0"/>
            <w:color w:val="000000"/>
            <w:sz w:val="32"/>
            <w:szCs w:val="32"/>
          </w:rPr>
          <w:t>善待亲儿子,才能引来好女婿</w:t>
        </w:r>
      </w:hyperlink>
      <w:r>
        <w:rPr>
          <w:rFonts w:ascii="仿宋_GB2312" w:eastAsia="仿宋_GB2312" w:hAnsi="仿宋_GB2312" w:cs="仿宋_GB2312"/>
          <w:b w:val="0"/>
          <w:color w:val="000000"/>
          <w:sz w:val="32"/>
          <w:szCs w:val="32"/>
        </w:rPr>
        <w:t>”。要注重各级各类人才生活的软环境的建设，从制度、政策等方面为人才营造包容、温润的成长环境，使真正有志于旅游事业的人才全身心投入事业。</w:t>
      </w:r>
      <w:r>
        <w:rPr>
          <w:rFonts w:ascii="仿宋_GB2312" w:eastAsia="仿宋_GB2312" w:hAnsi="仿宋_GB2312" w:cs="仿宋_GB2312"/>
          <w:b w:val="0"/>
          <w:color w:val="000000"/>
          <w:sz w:val="32"/>
          <w:szCs w:val="32"/>
        </w:rPr>
        <w:br/>
      </w:r>
    </w:p>
    <w:p w:rsidR="001B1F22" w:rsidRDefault="001B1F22">
      <w:pPr>
        <w:spacing w:line="572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1B1F22" w:rsidSect="001B1F22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F46" w:rsidRDefault="00104F46" w:rsidP="001B1F22">
      <w:r>
        <w:separator/>
      </w:r>
    </w:p>
  </w:endnote>
  <w:endnote w:type="continuationSeparator" w:id="1">
    <w:p w:rsidR="00104F46" w:rsidRDefault="00104F46" w:rsidP="001B1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标宋">
    <w:altName w:val="宋体"/>
    <w:charset w:val="86"/>
    <w:family w:val="auto"/>
    <w:pitch w:val="default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22" w:rsidRDefault="00451CA6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 filled="f" stroked="f" strokeweight=".5pt">
          <v:textbox style="mso-fit-shape-to-text:t" inset="0,0,0,0">
            <w:txbxContent>
              <w:p w:rsidR="001B1F22" w:rsidRDefault="00451CA6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A44C11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077877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F46" w:rsidRDefault="00104F46" w:rsidP="001B1F22">
      <w:r>
        <w:separator/>
      </w:r>
    </w:p>
  </w:footnote>
  <w:footnote w:type="continuationSeparator" w:id="1">
    <w:p w:rsidR="00104F46" w:rsidRDefault="00104F46" w:rsidP="001B1F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22" w:rsidRDefault="001B1F22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F22" w:rsidRDefault="001B1F2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B1F22"/>
    <w:rsid w:val="00075D06"/>
    <w:rsid w:val="00077877"/>
    <w:rsid w:val="000C18F5"/>
    <w:rsid w:val="00104F46"/>
    <w:rsid w:val="001B1F22"/>
    <w:rsid w:val="003A3805"/>
    <w:rsid w:val="00451CA6"/>
    <w:rsid w:val="005F46E6"/>
    <w:rsid w:val="0076712C"/>
    <w:rsid w:val="00A44C11"/>
    <w:rsid w:val="00AE6F17"/>
    <w:rsid w:val="00B41304"/>
    <w:rsid w:val="00C824DF"/>
    <w:rsid w:val="00E837DF"/>
    <w:rsid w:val="00EF76E9"/>
    <w:rsid w:val="00F408F3"/>
    <w:rsid w:val="05722A4F"/>
    <w:rsid w:val="270B0791"/>
    <w:rsid w:val="2DB74997"/>
    <w:rsid w:val="5972787C"/>
    <w:rsid w:val="5EBE7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/>
    <w:lsdException w:name="footer" w:uiPriority="99" w:unhideWhenUsed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1F2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next w:val="a"/>
    <w:semiHidden/>
    <w:unhideWhenUsed/>
    <w:qFormat/>
    <w:rsid w:val="001B1F22"/>
    <w:pPr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1B1F2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uiPriority w:val="99"/>
    <w:unhideWhenUsed/>
    <w:rsid w:val="001B1F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5">
    <w:name w:val="Normal (Web)"/>
    <w:basedOn w:val="a"/>
    <w:qFormat/>
    <w:rsid w:val="001B1F22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Emphasis"/>
    <w:basedOn w:val="a0"/>
    <w:qFormat/>
    <w:rsid w:val="001B1F22"/>
    <w:rPr>
      <w:color w:val="CC0000"/>
    </w:rPr>
  </w:style>
  <w:style w:type="character" w:styleId="a7">
    <w:name w:val="Hyperlink"/>
    <w:basedOn w:val="a0"/>
    <w:qFormat/>
    <w:rsid w:val="001B1F22"/>
    <w:rPr>
      <w:color w:val="0000FF"/>
      <w:u w:val="single"/>
    </w:rPr>
  </w:style>
  <w:style w:type="character" w:styleId="HTML">
    <w:name w:val="HTML Cite"/>
    <w:basedOn w:val="a0"/>
    <w:rsid w:val="001B1F22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baidu.com/link?url=lIoTAekaSRINkwVpfCJg2OhLMNeiZnACx5B5MXVK-hu0k2xg1uys0y4Sb2yyGKHiZVuSNvfiK6dcRhIFrtUNjDbTVlh2LHp2gd4qS6okVqa&amp;wd=&amp;eqid=b6e207b90003e398000000045c6fcb4a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张华丽</cp:lastModifiedBy>
  <cp:revision>9</cp:revision>
  <dcterms:created xsi:type="dcterms:W3CDTF">2014-10-29T12:08:00Z</dcterms:created>
  <dcterms:modified xsi:type="dcterms:W3CDTF">2019-03-27T06:52:00Z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