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440" w:lineRule="exact"/>
        <w:ind w:right="300"/>
        <w:jc w:val="right"/>
        <w:rPr>
          <w:sz w:val="30"/>
        </w:rPr>
      </w:pPr>
      <w:r>
        <w:rPr>
          <w:rFonts w:hint="eastAsia"/>
          <w:sz w:val="30"/>
        </w:rPr>
        <w:t>八届二次  第 115 号</w:t>
      </w:r>
    </w:p>
    <w:p>
      <w:pPr>
        <w:spacing w:line="440" w:lineRule="exact"/>
        <w:rPr>
          <w:sz w:val="30"/>
        </w:rPr>
      </w:pPr>
    </w:p>
    <w:p>
      <w:pPr>
        <w:jc w:val="center"/>
        <w:rPr>
          <w:rFonts w:eastAsia="华文标宋"/>
          <w:sz w:val="48"/>
          <w:szCs w:val="48"/>
        </w:rPr>
      </w:pPr>
      <w:r>
        <w:rPr>
          <w:rFonts w:hint="eastAsia" w:eastAsia="华文标宋"/>
          <w:sz w:val="48"/>
          <w:szCs w:val="48"/>
        </w:rPr>
        <w:t>政协温州市洞头区委员会提案</w:t>
      </w:r>
    </w:p>
    <w:p>
      <w:pPr>
        <w:spacing w:line="440" w:lineRule="exact"/>
        <w:rPr>
          <w:sz w:val="30"/>
        </w:rPr>
      </w:pP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1919"/>
        <w:gridCol w:w="1088"/>
        <w:gridCol w:w="1274"/>
        <w:gridCol w:w="1051"/>
        <w:gridCol w:w="269"/>
        <w:gridCol w:w="15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案    由</w:t>
            </w:r>
          </w:p>
        </w:tc>
        <w:tc>
          <w:tcPr>
            <w:tcW w:w="7200" w:type="dxa"/>
            <w:gridSpan w:val="6"/>
            <w:vAlign w:val="center"/>
          </w:tcPr>
          <w:p>
            <w:pPr>
              <w:tabs>
                <w:tab w:val="left" w:pos="690"/>
                <w:tab w:val="center" w:pos="4272"/>
              </w:tabs>
              <w:spacing w:line="440" w:lineRule="exact"/>
              <w:ind w:right="30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 w:cs="方正小标宋简体"/>
                <w:spacing w:val="-20"/>
                <w:sz w:val="36"/>
                <w:szCs w:val="36"/>
              </w:rPr>
              <w:t>关于美化环境提升洞头旅游城市品质的</w:t>
            </w:r>
            <w:r>
              <w:rPr>
                <w:rFonts w:hint="eastAsia" w:ascii="黑体" w:hAnsi="黑体" w:eastAsia="黑体" w:cs="方正小标宋简体"/>
                <w:spacing w:val="-20"/>
                <w:sz w:val="36"/>
                <w:szCs w:val="36"/>
                <w:lang w:eastAsia="zh-CN"/>
              </w:rPr>
              <w:t>提案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提 案 人</w:t>
            </w:r>
          </w:p>
        </w:tc>
        <w:tc>
          <w:tcPr>
            <w:tcW w:w="1919" w:type="dxa"/>
            <w:vAlign w:val="center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庄小萍</w:t>
            </w:r>
          </w:p>
        </w:tc>
        <w:tc>
          <w:tcPr>
            <w:tcW w:w="108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界 别</w:t>
            </w:r>
          </w:p>
        </w:tc>
        <w:tc>
          <w:tcPr>
            <w:tcW w:w="127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特邀界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159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13806886256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7200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温州市鹿城区学院东路嘉和花园A9-103室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建议承办单位</w:t>
            </w:r>
          </w:p>
        </w:tc>
        <w:tc>
          <w:tcPr>
            <w:tcW w:w="7200" w:type="dxa"/>
            <w:gridSpan w:val="6"/>
            <w:vAlign w:val="center"/>
          </w:tcPr>
          <w:p>
            <w:pPr>
              <w:spacing w:line="440" w:lineRule="exact"/>
              <w:jc w:val="righ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728" w:type="dxa"/>
            <w:vAlign w:val="center"/>
          </w:tcPr>
          <w:p>
            <w:pPr>
              <w:spacing w:line="360" w:lineRule="exact"/>
              <w:ind w:right="12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附议人姓名</w:t>
            </w:r>
          </w:p>
        </w:tc>
        <w:tc>
          <w:tcPr>
            <w:tcW w:w="53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     系     地     址</w:t>
            </w:r>
          </w:p>
        </w:tc>
        <w:tc>
          <w:tcPr>
            <w:tcW w:w="186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 系 电 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53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53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53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53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53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53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28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53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</w:tr>
    </w:tbl>
    <w:p>
      <w:pPr>
        <w:spacing w:line="440" w:lineRule="exact"/>
        <w:rPr>
          <w:sz w:val="30"/>
        </w:rPr>
      </w:pPr>
    </w:p>
    <w:p>
      <w:pPr>
        <w:spacing w:line="440" w:lineRule="exact"/>
        <w:rPr>
          <w:sz w:val="30"/>
        </w:rPr>
      </w:pPr>
      <w:r>
        <w:rPr>
          <w:rFonts w:hint="eastAsia"/>
          <w:sz w:val="30"/>
        </w:rPr>
        <w:t>提案审查意见（以下由提案审查机构填写）：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260"/>
        <w:gridCol w:w="7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初</w:t>
            </w:r>
          </w:p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审</w:t>
            </w:r>
          </w:p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意</w:t>
            </w:r>
          </w:p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见</w:t>
            </w:r>
          </w:p>
        </w:tc>
        <w:tc>
          <w:tcPr>
            <w:tcW w:w="1260" w:type="dxa"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立案情况</w:t>
            </w:r>
          </w:p>
        </w:tc>
        <w:tc>
          <w:tcPr>
            <w:tcW w:w="7200" w:type="dxa"/>
          </w:tcPr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 w:ascii="MS Mincho" w:hAnsi="MS Mincho" w:eastAsia="MS Mincho" w:cs="MS Mincho"/>
                <w:sz w:val="24"/>
              </w:rPr>
              <w:t>☑</w:t>
            </w:r>
            <w:r>
              <w:rPr>
                <w:rFonts w:hint="eastAsia" w:ascii="宋体" w:hAnsi="宋体"/>
                <w:sz w:val="24"/>
              </w:rPr>
              <w:t>立案      □不予立案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类    别</w:t>
            </w:r>
          </w:p>
        </w:tc>
        <w:tc>
          <w:tcPr>
            <w:tcW w:w="7200" w:type="dxa"/>
            <w:vAlign w:val="center"/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□政治建设  □经济建设  </w:t>
            </w:r>
            <w:r>
              <w:rPr>
                <w:rFonts w:hint="eastAsia" w:ascii="宋体" w:hAnsi="宋体"/>
                <w:spacing w:val="-4"/>
                <w:sz w:val="24"/>
              </w:rPr>
              <w:t>□</w:t>
            </w:r>
            <w:r>
              <w:rPr>
                <w:rFonts w:hint="eastAsia" w:ascii="宋体" w:hAnsi="宋体"/>
                <w:sz w:val="24"/>
              </w:rPr>
              <w:t xml:space="preserve">文化建设  □社会建设  </w:t>
            </w:r>
          </w:p>
          <w:p>
            <w:pPr>
              <w:spacing w:line="500" w:lineRule="exact"/>
              <w:ind w:firstLine="720" w:firstLineChars="300"/>
              <w:rPr>
                <w:sz w:val="24"/>
              </w:rPr>
            </w:pPr>
            <w:r>
              <w:rPr>
                <w:rFonts w:hint="eastAsia" w:ascii="MS Mincho" w:hAnsi="MS Mincho" w:eastAsia="MS Mincho" w:cs="MS Mincho"/>
                <w:sz w:val="24"/>
              </w:rPr>
              <w:t>☑</w:t>
            </w:r>
            <w:r>
              <w:rPr>
                <w:rFonts w:hint="eastAsia" w:ascii="宋体" w:hAnsi="宋体"/>
                <w:sz w:val="24"/>
              </w:rPr>
              <w:t>生态建设    □人民生活    □综合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728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审 批 意 见</w:t>
            </w:r>
          </w:p>
        </w:tc>
        <w:tc>
          <w:tcPr>
            <w:tcW w:w="7200" w:type="dxa"/>
          </w:tcPr>
          <w:p>
            <w:pPr>
              <w:spacing w:line="440" w:lineRule="exact"/>
              <w:rPr>
                <w:sz w:val="24"/>
              </w:rPr>
            </w:pPr>
          </w:p>
          <w:p>
            <w:pPr>
              <w:spacing w:line="440" w:lineRule="exact"/>
              <w:rPr>
                <w:sz w:val="24"/>
              </w:rPr>
            </w:pPr>
          </w:p>
        </w:tc>
      </w:tr>
    </w:tbl>
    <w:p>
      <w:pPr>
        <w:widowControl/>
        <w:spacing w:line="360" w:lineRule="exact"/>
        <w:ind w:firstLine="422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b/>
          <w:kern w:val="0"/>
          <w:szCs w:val="21"/>
        </w:rPr>
        <w:t>备注</w:t>
      </w:r>
      <w:r>
        <w:rPr>
          <w:rFonts w:ascii="楷体" w:hAnsi="楷体" w:eastAsia="楷体" w:cs="宋体"/>
          <w:b/>
          <w:kern w:val="0"/>
          <w:szCs w:val="21"/>
        </w:rPr>
        <w:t>：</w:t>
      </w:r>
      <w:r>
        <w:rPr>
          <w:rFonts w:hint="eastAsia" w:ascii="楷体" w:hAnsi="楷体" w:eastAsia="楷体" w:cs="宋体"/>
          <w:kern w:val="0"/>
          <w:szCs w:val="21"/>
        </w:rPr>
        <w:t>请</w:t>
      </w:r>
      <w:r>
        <w:rPr>
          <w:rFonts w:ascii="楷体" w:hAnsi="楷体" w:eastAsia="楷体" w:cs="宋体"/>
          <w:kern w:val="0"/>
          <w:szCs w:val="21"/>
        </w:rPr>
        <w:t>通过洞头区政府门户网站</w:t>
      </w:r>
      <w:r>
        <w:rPr>
          <w:rFonts w:hint="eastAsia" w:ascii="楷体" w:hAnsi="楷体" w:eastAsia="楷体" w:cs="宋体"/>
          <w:kern w:val="0"/>
          <w:szCs w:val="21"/>
        </w:rPr>
        <w:t>（</w:t>
      </w:r>
      <w:r>
        <w:rPr>
          <w:rFonts w:ascii="楷体" w:hAnsi="楷体" w:eastAsia="楷体" w:cs="宋体"/>
          <w:kern w:val="0"/>
          <w:szCs w:val="21"/>
        </w:rPr>
        <w:t>http://www.dongtou.gov.cn/</w:t>
      </w:r>
      <w:r>
        <w:rPr>
          <w:rFonts w:hint="eastAsia" w:ascii="楷体" w:hAnsi="楷体" w:eastAsia="楷体" w:cs="宋体"/>
          <w:kern w:val="0"/>
          <w:szCs w:val="21"/>
        </w:rPr>
        <w:t>）</w:t>
      </w:r>
      <w:r>
        <w:rPr>
          <w:rFonts w:ascii="楷体" w:hAnsi="楷体" w:eastAsia="楷体" w:cs="宋体"/>
          <w:kern w:val="0"/>
          <w:szCs w:val="21"/>
        </w:rPr>
        <w:t>“建议提案”</w:t>
      </w:r>
      <w:r>
        <w:rPr>
          <w:rFonts w:hint="eastAsia" w:ascii="楷体" w:hAnsi="楷体" w:eastAsia="楷体" w:cs="宋体"/>
          <w:kern w:val="0"/>
          <w:szCs w:val="21"/>
        </w:rPr>
        <w:t>和</w:t>
      </w:r>
      <w:r>
        <w:rPr>
          <w:rFonts w:ascii="楷体" w:hAnsi="楷体" w:eastAsia="楷体" w:cs="宋体"/>
          <w:kern w:val="0"/>
          <w:szCs w:val="21"/>
        </w:rPr>
        <w:t>洞头政协网站</w:t>
      </w:r>
      <w:r>
        <w:rPr>
          <w:rFonts w:hint="eastAsia" w:ascii="楷体" w:hAnsi="楷体" w:eastAsia="楷体" w:cs="宋体"/>
          <w:kern w:val="0"/>
          <w:szCs w:val="21"/>
        </w:rPr>
        <w:t>（</w:t>
      </w:r>
      <w:r>
        <w:rPr>
          <w:rFonts w:ascii="楷体" w:hAnsi="楷体" w:eastAsia="楷体" w:cs="宋体"/>
          <w:kern w:val="0"/>
          <w:szCs w:val="21"/>
        </w:rPr>
        <w:t>http://zxb.dongtou.gov.cn/</w:t>
      </w:r>
      <w:r>
        <w:rPr>
          <w:rFonts w:hint="eastAsia" w:ascii="楷体" w:hAnsi="楷体" w:eastAsia="楷体" w:cs="宋体"/>
          <w:kern w:val="0"/>
          <w:szCs w:val="21"/>
        </w:rPr>
        <w:t>）</w:t>
      </w:r>
      <w:r>
        <w:rPr>
          <w:rFonts w:ascii="楷体" w:hAnsi="楷体" w:eastAsia="楷体" w:cs="宋体"/>
          <w:kern w:val="0"/>
          <w:szCs w:val="21"/>
        </w:rPr>
        <w:t>“提案管理系统”提交电子文档提案。</w:t>
      </w:r>
    </w:p>
    <w:p>
      <w:pPr>
        <w:wordWrap w:val="0"/>
        <w:spacing w:line="440" w:lineRule="exact"/>
        <w:ind w:right="300"/>
        <w:rPr>
          <w:sz w:val="30"/>
        </w:rPr>
      </w:pPr>
    </w:p>
    <w:p>
      <w:pPr>
        <w:tabs>
          <w:tab w:val="left" w:pos="690"/>
          <w:tab w:val="center" w:pos="4272"/>
        </w:tabs>
        <w:spacing w:line="440" w:lineRule="exact"/>
        <w:ind w:right="300"/>
        <w:jc w:val="center"/>
        <w:rPr>
          <w:rFonts w:ascii="黑体" w:hAnsi="黑体" w:eastAsia="黑体" w:cs="方正小标宋简体"/>
          <w:sz w:val="36"/>
          <w:szCs w:val="36"/>
        </w:rPr>
      </w:pPr>
      <w:r>
        <w:rPr>
          <w:rFonts w:hint="eastAsia" w:ascii="黑体" w:hAnsi="黑体" w:eastAsia="黑体" w:cs="方正小标宋简体"/>
          <w:sz w:val="36"/>
          <w:szCs w:val="36"/>
        </w:rPr>
        <w:t>关于美化环境提升洞头旅游城市品质的</w:t>
      </w:r>
      <w:r>
        <w:rPr>
          <w:rFonts w:hint="eastAsia" w:ascii="黑体" w:hAnsi="黑体" w:eastAsia="黑体" w:cs="方正小标宋简体"/>
          <w:sz w:val="36"/>
          <w:szCs w:val="36"/>
          <w:lang w:eastAsia="zh-CN"/>
        </w:rPr>
        <w:t>提案</w:t>
      </w:r>
      <w:bookmarkStart w:id="0" w:name="_GoBack"/>
      <w:bookmarkEnd w:id="0"/>
    </w:p>
    <w:p>
      <w:pPr>
        <w:wordWrap w:val="0"/>
        <w:spacing w:line="572" w:lineRule="exact"/>
        <w:ind w:right="3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wordWrap w:val="0"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年来，随着我们洞头撤县设区,以及330国道实现全线通车，为加速洞头融入温州大都市区提供强劲动力，同时也日益凸显身处海岛的洞头地方旅游特色。因此，大力发展洞头区旅游行业已成为大家的共识，它不仅关系到洞头区</w:t>
      </w:r>
      <w:r>
        <w:rPr>
          <w:rFonts w:ascii="仿宋_GB2312" w:hAnsi="仿宋_GB2312" w:eastAsia="仿宋_GB2312" w:cs="仿宋_GB2312"/>
          <w:sz w:val="32"/>
          <w:szCs w:val="32"/>
        </w:rPr>
        <w:t>GDP</w:t>
      </w:r>
      <w:r>
        <w:rPr>
          <w:rFonts w:hint="eastAsia" w:ascii="仿宋_GB2312" w:hAnsi="仿宋_GB2312" w:eastAsia="仿宋_GB2312" w:cs="仿宋_GB2312"/>
          <w:sz w:val="32"/>
          <w:szCs w:val="32"/>
        </w:rPr>
        <w:t>的增长量与增长速度，而且还影响到洞头居民的生活质量与幸福感。</w:t>
      </w:r>
    </w:p>
    <w:p>
      <w:pPr>
        <w:wordWrap w:val="0"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那么，发展洞头旅游行业不仅应发挥我区旅游特色的硬势力，如：独特的自然景观</w:t>
      </w:r>
      <w:r>
        <w:rPr>
          <w:rFonts w:ascii="仿宋_GB2312" w:hAnsi="仿宋_GB2312" w:eastAsia="仿宋_GB2312" w:cs="仿宋_GB2312"/>
          <w:sz w:val="32"/>
          <w:szCs w:val="32"/>
        </w:rPr>
        <w:t>,</w:t>
      </w:r>
      <w:r>
        <w:rPr>
          <w:rFonts w:hint="eastAsia" w:ascii="仿宋_GB2312" w:hAnsi="仿宋_GB2312" w:eastAsia="仿宋_GB2312" w:cs="仿宋_GB2312"/>
          <w:sz w:val="32"/>
          <w:szCs w:val="32"/>
        </w:rPr>
        <w:t>新鲜的海产品等，而且应深度发展我区的软势力，如：提供多样化的旅游产品、更优质的旅游服务、美丽的旅游环境等。上述做法既能打破我区旅游的季节性，且能吸引更多的游客来洞头旅游。对于美化环境，政府已做了许多有目共睹的工作，如：拆除违章建筑、优化城市规划等。本人作为政协委员想提出一个</w:t>
      </w:r>
      <w:r>
        <w:rPr>
          <w:rFonts w:hint="eastAsia" w:ascii="仿宋_GB2312" w:hAnsi="仿宋_GB2312" w:eastAsia="仿宋_GB2312" w:cs="仿宋_GB2312"/>
          <w:w w:val="90"/>
          <w:sz w:val="32"/>
          <w:szCs w:val="32"/>
        </w:rPr>
        <w:t>提案，即美化环境助力提升洞头的旅游品</w:t>
      </w:r>
      <w:r>
        <w:rPr>
          <w:rFonts w:hint="eastAsia" w:ascii="仿宋_GB2312" w:hAnsi="仿宋_GB2312" w:eastAsia="仿宋_GB2312" w:cs="仿宋_GB2312"/>
          <w:sz w:val="32"/>
          <w:szCs w:val="32"/>
        </w:rPr>
        <w:t>牌。</w:t>
      </w:r>
    </w:p>
    <w:p>
      <w:pPr>
        <w:wordWrap w:val="0"/>
        <w:spacing w:line="56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-7620</wp:posOffset>
            </wp:positionH>
            <wp:positionV relativeFrom="paragraph">
              <wp:posOffset>10795</wp:posOffset>
            </wp:positionV>
            <wp:extent cx="2881630" cy="2371725"/>
            <wp:effectExtent l="0" t="0" r="0" b="5715"/>
            <wp:wrapTight wrapText="bothSides">
              <wp:wrapPolygon>
                <wp:start x="0" y="0"/>
                <wp:lineTo x="0" y="21513"/>
                <wp:lineTo x="21476" y="21513"/>
                <wp:lineTo x="21476" y="0"/>
                <wp:lineTo x="0" y="0"/>
              </wp:wrapPolygon>
            </wp:wrapTight>
            <wp:docPr id="9" name="图片 7" descr="Img31945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3194585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13335</wp:posOffset>
            </wp:positionV>
            <wp:extent cx="2678430" cy="2359025"/>
            <wp:effectExtent l="0" t="0" r="3810" b="3175"/>
            <wp:wrapSquare wrapText="bothSides"/>
            <wp:docPr id="11" name="图片 6" descr="卢森堡花卉小城纽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卢森堡花卉小城纽密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一、作为旅游景点，优美的环境能为固有的旅游特色加分</w:t>
      </w:r>
    </w:p>
    <w:p>
      <w:pPr>
        <w:wordWrap w:val="0"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相信很多人都游历过欧洲一些小国家，比如奥地利、比利时和卢森堡等。你会发现，虽然他们国家版图小，但是每个角落都处理的非常精致，家家户户的窗台都摆满了五颜六色的鲜花，常年绽放，让人陶醉其中，流连忘返，成为一道极具特色的美丽风景线。这里极具借鉴意义的是希腊爱琴海周边的景区，它的地理环境与洞头具有一定的相似度（例如：东岙底渔村、花岗海村与沙岙底渔村等</w:t>
      </w:r>
      <w:r>
        <w:rPr>
          <w:rFonts w:ascii="仿宋_GB2312" w:hAnsi="仿宋_GB2312" w:eastAsia="仿宋_GB2312" w:cs="仿宋_GB2312"/>
          <w:sz w:val="32"/>
          <w:szCs w:val="32"/>
        </w:rPr>
        <w:t>)</w:t>
      </w:r>
      <w:r>
        <w:rPr>
          <w:rFonts w:hint="eastAsia" w:ascii="仿宋_GB2312" w:hAnsi="仿宋_GB2312" w:eastAsia="仿宋_GB2312" w:cs="仿宋_GB2312"/>
          <w:sz w:val="32"/>
          <w:szCs w:val="32"/>
        </w:rPr>
        <w:t>，二者均依山伴海，气候怡人，以海岛作为旅游卖点。实际上，那里的房子色调略显单调，全部以蓝白为主，但由于到处花丛的点缀，却更突出了以深蓝海洋为背景的文化氛围，再结合发挥当地的风土人情优势，使得希腊成为国际旅游市场上的热门国家。</w:t>
      </w:r>
    </w:p>
    <w:p>
      <w:pPr>
        <w:wordWrap w:val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1495" cy="3503930"/>
            <wp:effectExtent l="0" t="0" r="12065" b="1270"/>
            <wp:docPr id="3" name="图片 3" descr="aegean_sea-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gean_sea-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line="56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二、结合洞头区的实际情况，我提出几点美化环境的具体提案</w:t>
      </w:r>
    </w:p>
    <w:p>
      <w:pPr>
        <w:wordWrap w:val="0"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（一）人员：由政府相关部门（如，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</w:rPr>
        <w:t>区委宣传部、</w:t>
      </w:r>
      <w:r>
        <w:rPr>
          <w:rFonts w:hint="eastAsia" w:ascii="仿宋_GB2312" w:hAnsi="仿宋_GB2312" w:eastAsia="仿宋_GB2312" w:cs="仿宋_GB2312"/>
          <w:sz w:val="32"/>
          <w:szCs w:val="32"/>
        </w:rPr>
        <w:t>区风景与旅游发展委员会等）牵头，积极调动各街道、村委主观能动性与参与度，充分发挥与景观有关的企业与社会组织的积极性与优势，培养或引进专业绿植培育与布置人员。</w:t>
      </w:r>
    </w:p>
    <w:p>
      <w:pPr>
        <w:wordWrap w:val="0"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（二）经费、财物与场地：政府每年拿出一定的财政预算，提供相应场所，而与景观有关的企业与社会组织或出资，或出技术与人员。</w:t>
      </w:r>
    </w:p>
    <w:p>
      <w:pPr>
        <w:wordWrap w:val="0"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（三）具体操作：</w:t>
      </w:r>
    </w:p>
    <w:p>
      <w:pPr>
        <w:wordWrap w:val="0"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1、培育符合洞头气候的成本较低廉的花卉草本植物，定期发放种子和育苗草本，并开展相关育苗育植的培训讲座活动，让居民掌握培育种植花草的正确方法，提高花卉草本的存活率。</w:t>
      </w:r>
    </w:p>
    <w:p>
      <w:pPr>
        <w:wordWrap w:val="0"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2、积极调动村居老人，充分发挥村居老人的主观能动性，既可以让村居老人成为培育花卉花草的施教者和传播者，也可以陶冶村居老人的文化生活。</w:t>
      </w:r>
    </w:p>
    <w:p>
      <w:pPr>
        <w:wordWrap w:val="0"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3、利用景观道路两旁各种性质房屋的阳台、栏杆等一切可以细致美化的地方，设计出几种式样存放花盆的篮筐，根据登记户主的信息发放到每一房子的住户，然后配以花卉草本植物，随后由户住自己养护。</w:t>
      </w:r>
    </w:p>
    <w:p>
      <w:pPr>
        <w:wordWrap w:val="0"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1617980</wp:posOffset>
            </wp:positionV>
            <wp:extent cx="2740025" cy="2616835"/>
            <wp:effectExtent l="0" t="0" r="3175" b="4445"/>
            <wp:wrapSquare wrapText="bothSides"/>
            <wp:docPr id="35" name="图片 8" descr="C:\Users\Administrator\Documents\Tencent Files\172912220\Image\C2C\34943526BB042D68ABE2D5869BB77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C:\Users\Administrator\Documents\Tencent Files\172912220\Image\C2C\34943526BB042D68ABE2D5869BB7772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1596390</wp:posOffset>
            </wp:positionV>
            <wp:extent cx="2823210" cy="2636520"/>
            <wp:effectExtent l="0" t="0" r="11430" b="0"/>
            <wp:wrapTight wrapText="bothSides">
              <wp:wrapPolygon>
                <wp:start x="0" y="0"/>
                <wp:lineTo x="0" y="21475"/>
                <wp:lineTo x="21454" y="21475"/>
                <wp:lineTo x="21454" y="0"/>
                <wp:lineTo x="0" y="0"/>
              </wp:wrapPolygon>
            </wp:wrapTight>
            <wp:docPr id="36" name="图片 6" descr="C:\Users\Administrator\Documents\Tencent Files\172912220\Image\C2C\F1894483CAF873C4AF97AE383BF4B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 descr="C:\Users\Administrator\Documents\Tencent Files\172912220\Image\C2C\F1894483CAF873C4AF97AE383BF4B0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4、组织社会活动：如评比活动，由区文明办或者花协定期举行花卉养护评比等活动，调动和提高居民种植花卉草本的积极性。还有节</w:t>
      </w:r>
      <w:r>
        <w:rPr>
          <w:rFonts w:hint="eastAsia" w:ascii="仿宋_GB2312" w:hAnsi="仿宋_GB2312" w:eastAsia="仿宋_GB2312" w:cs="仿宋_GB2312"/>
          <w:w w:val="90"/>
          <w:sz w:val="32"/>
          <w:szCs w:val="32"/>
        </w:rPr>
        <w:t>庆活动，让来洞头旅游的游客有种耳目一新的感觉，并借助现在发达的自媒体传播工具，必定会一传十，十传百，争相为洞头美丽的环境发出游客</w:t>
      </w:r>
      <w:r>
        <w:rPr>
          <w:rFonts w:hint="eastAsia" w:ascii="仿宋_GB2312" w:hAnsi="仿宋_GB2312" w:eastAsia="仿宋_GB2312" w:cs="仿宋_GB2312"/>
          <w:sz w:val="32"/>
          <w:szCs w:val="32"/>
        </w:rPr>
        <w:t>的影响力。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认为这是一件利民利区的好事，一来政府所花费的财政资金不多，但得到的经济和社会效益却很高。二来老百姓即美化了自己的居住环境，提升了生活水准，又能吸引游客。我相信，上述做法一旦落地，岛城环境一定会更加优美，人民生活一定会更加幸福，洞头必将以崭新的“海上花园”姿态，屹立于东海之滨，迎接慕名而来的海内外游客。</w:t>
      </w:r>
    </w:p>
    <w:p>
      <w:pPr>
        <w:widowControl/>
        <w:spacing w:line="560" w:lineRule="exact"/>
        <w:ind w:firstLine="480" w:firstLineChars="200"/>
        <w:jc w:val="left"/>
        <w:rPr>
          <w:rFonts w:ascii="仿宋_GB2312" w:eastAsia="仿宋_GB2312"/>
          <w:b/>
          <w:sz w:val="30"/>
          <w:szCs w:val="30"/>
        </w:rPr>
      </w:pPr>
      <w:r>
        <w:rPr>
          <w:rFonts w:hint="eastAsia" w:ascii="宋体" w:hAnsi="宋体" w:cs="宋体"/>
          <w:kern w:val="0"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33655</wp:posOffset>
            </wp:positionV>
            <wp:extent cx="2886710" cy="2409825"/>
            <wp:effectExtent l="0" t="0" r="39370" b="13335"/>
            <wp:wrapTight wrapText="bothSides">
              <wp:wrapPolygon>
                <wp:start x="0" y="0"/>
                <wp:lineTo x="0" y="21446"/>
                <wp:lineTo x="21438" y="21446"/>
                <wp:lineTo x="21438" y="0"/>
                <wp:lineTo x="0" y="0"/>
              </wp:wrapPolygon>
            </wp:wrapTight>
            <wp:docPr id="33" name="图片 10" descr="C:\Users\Administrator\AppData\Roaming\Tencent\Users\172912220\QQ\WinTemp\RichOle\S`E{7DPET~F6~)YKKYQ$L3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 descr="C:\Users\Administrator\AppData\Roaming\Tencent\Users\172912220\QQ\WinTemp\RichOle\S`E{7DPET~F6~)YKKYQ$L3I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30480</wp:posOffset>
            </wp:positionV>
            <wp:extent cx="2735580" cy="2390775"/>
            <wp:effectExtent l="0" t="0" r="7620" b="1905"/>
            <wp:wrapTight wrapText="bothSides">
              <wp:wrapPolygon>
                <wp:start x="0" y="0"/>
                <wp:lineTo x="0" y="21480"/>
                <wp:lineTo x="21540" y="21480"/>
                <wp:lineTo x="21540" y="0"/>
                <wp:lineTo x="0" y="0"/>
              </wp:wrapPolygon>
            </wp:wrapTight>
            <wp:docPr id="34" name="图片 12" descr="C:\Users\Administrator\AppData\Roaming\Tencent\Users\172912220\QQ\WinTemp\RichOle\9M4}{Q07N02FRAT]QQV}Q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C:\Users\Administrator\AppData\Roaming\Tencent\Users\172912220\QQ\WinTemp\RichOle\9M4}{Q07N02FRAT]QQV}QQ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ind w:firstLine="602" w:firstLineChars="200"/>
        <w:jc w:val="left"/>
        <w:rPr>
          <w:rFonts w:ascii="仿宋_GB2312" w:eastAsia="仿宋_GB2312"/>
          <w:b/>
          <w:sz w:val="30"/>
          <w:szCs w:val="30"/>
        </w:rPr>
      </w:pPr>
    </w:p>
    <w:p>
      <w:pPr>
        <w:widowControl/>
        <w:spacing w:line="560" w:lineRule="exact"/>
        <w:ind w:firstLine="602" w:firstLineChars="200"/>
        <w:jc w:val="left"/>
        <w:rPr>
          <w:rFonts w:ascii="仿宋_GB2312" w:eastAsia="仿宋_GB2312"/>
          <w:b/>
          <w:sz w:val="30"/>
          <w:szCs w:val="30"/>
        </w:rPr>
      </w:pPr>
    </w:p>
    <w:sectPr>
      <w:headerReference r:id="rId3" w:type="default"/>
      <w:pgSz w:w="11906" w:h="16838"/>
      <w:pgMar w:top="1588" w:right="1474" w:bottom="141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标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DAD2354"/>
    <w:rsid w:val="00035A91"/>
    <w:rsid w:val="00092933"/>
    <w:rsid w:val="000A35AB"/>
    <w:rsid w:val="002813CF"/>
    <w:rsid w:val="00342BCB"/>
    <w:rsid w:val="00346A92"/>
    <w:rsid w:val="00350CE6"/>
    <w:rsid w:val="003D1D72"/>
    <w:rsid w:val="003D3F33"/>
    <w:rsid w:val="00424099"/>
    <w:rsid w:val="00483A5D"/>
    <w:rsid w:val="00512EA1"/>
    <w:rsid w:val="005533F7"/>
    <w:rsid w:val="005D4930"/>
    <w:rsid w:val="007A6F89"/>
    <w:rsid w:val="007F4005"/>
    <w:rsid w:val="008033D0"/>
    <w:rsid w:val="00816E3F"/>
    <w:rsid w:val="008D1ED6"/>
    <w:rsid w:val="008F76FB"/>
    <w:rsid w:val="00934576"/>
    <w:rsid w:val="009709ED"/>
    <w:rsid w:val="0097785A"/>
    <w:rsid w:val="00977AD6"/>
    <w:rsid w:val="009D7224"/>
    <w:rsid w:val="00A107B6"/>
    <w:rsid w:val="00A37AA8"/>
    <w:rsid w:val="00AD1168"/>
    <w:rsid w:val="00AF2F0E"/>
    <w:rsid w:val="00B753A7"/>
    <w:rsid w:val="00C7012B"/>
    <w:rsid w:val="00CF7921"/>
    <w:rsid w:val="00D94165"/>
    <w:rsid w:val="00DE6DDC"/>
    <w:rsid w:val="00DF1835"/>
    <w:rsid w:val="00EE59EE"/>
    <w:rsid w:val="00F04111"/>
    <w:rsid w:val="00F16EB9"/>
    <w:rsid w:val="00F257B6"/>
    <w:rsid w:val="00F3632B"/>
    <w:rsid w:val="02472E44"/>
    <w:rsid w:val="04B00179"/>
    <w:rsid w:val="060B1C78"/>
    <w:rsid w:val="091244AA"/>
    <w:rsid w:val="0CF91780"/>
    <w:rsid w:val="0D490496"/>
    <w:rsid w:val="10FB157A"/>
    <w:rsid w:val="12CC2AD6"/>
    <w:rsid w:val="15FD67B0"/>
    <w:rsid w:val="17DB10ED"/>
    <w:rsid w:val="1DAD2354"/>
    <w:rsid w:val="23FB7634"/>
    <w:rsid w:val="23FC0EC4"/>
    <w:rsid w:val="27EA382E"/>
    <w:rsid w:val="33F20AC3"/>
    <w:rsid w:val="3B530BD2"/>
    <w:rsid w:val="3E7172C6"/>
    <w:rsid w:val="3F1E44ED"/>
    <w:rsid w:val="41C82DA6"/>
    <w:rsid w:val="41FD3924"/>
    <w:rsid w:val="43E40E71"/>
    <w:rsid w:val="44110E90"/>
    <w:rsid w:val="47185697"/>
    <w:rsid w:val="491B49FB"/>
    <w:rsid w:val="4CCF2AA1"/>
    <w:rsid w:val="4D7478C4"/>
    <w:rsid w:val="4E1035E7"/>
    <w:rsid w:val="4FBF55E8"/>
    <w:rsid w:val="51331BD9"/>
    <w:rsid w:val="53741D12"/>
    <w:rsid w:val="5744444A"/>
    <w:rsid w:val="5BAF2897"/>
    <w:rsid w:val="5BF81439"/>
    <w:rsid w:val="5D991690"/>
    <w:rsid w:val="66AB5623"/>
    <w:rsid w:val="6B270B84"/>
    <w:rsid w:val="6D357947"/>
    <w:rsid w:val="70606292"/>
    <w:rsid w:val="718B051E"/>
    <w:rsid w:val="720E4840"/>
    <w:rsid w:val="786F667D"/>
    <w:rsid w:val="7A306C2A"/>
    <w:rsid w:val="7EC006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qFormat/>
    <w:locked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270</Words>
  <Characters>1545</Characters>
  <Lines>12</Lines>
  <Paragraphs>3</Paragraphs>
  <TotalTime>0</TotalTime>
  <ScaleCrop>false</ScaleCrop>
  <LinksUpToDate>false</LinksUpToDate>
  <CharactersWithSpaces>1812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2017-03-16T06:30:00Z</dcterms:created>
  <dc:creator>蔡明慧</dc:creator>
  <cp:lastModifiedBy>秘书二科</cp:lastModifiedBy>
  <dcterms:modified xsi:type="dcterms:W3CDTF">2018-03-26T07:16:46Z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